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A7" w:rsidRDefault="002E66F6" w:rsidP="002E66F6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  <w:r w:rsidRPr="00977502">
        <w:rPr>
          <w:rFonts w:ascii="Calibri" w:hAnsi="Calibri"/>
          <w:i/>
        </w:rPr>
        <w:tab/>
      </w:r>
      <w:bookmarkStart w:id="0" w:name="_GoBack"/>
      <w:bookmarkEnd w:id="0"/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b/>
          <w:i/>
        </w:rPr>
      </w:pPr>
      <w:proofErr w:type="spellStart"/>
      <w:r w:rsidRPr="004B01A7">
        <w:rPr>
          <w:rFonts w:ascii="Calibri" w:hAnsi="Calibri"/>
          <w:b/>
          <w:i/>
        </w:rPr>
        <w:t>Biosimilari</w:t>
      </w:r>
      <w:proofErr w:type="spellEnd"/>
      <w:r w:rsidRPr="004B01A7">
        <w:rPr>
          <w:rFonts w:ascii="Calibri" w:hAnsi="Calibri"/>
          <w:b/>
          <w:i/>
        </w:rPr>
        <w:t>: l’ICMRA ne ribadisce vantaggi e benefici per pazienti e sis</w:t>
      </w:r>
      <w:r w:rsidRPr="004B01A7">
        <w:rPr>
          <w:rFonts w:ascii="Calibri" w:hAnsi="Calibri"/>
          <w:b/>
          <w:i/>
        </w:rPr>
        <w:t>temi sanitari a livello globale</w:t>
      </w: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b/>
          <w:i/>
        </w:rPr>
      </w:pP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  <w:r w:rsidRPr="004B01A7">
        <w:rPr>
          <w:rFonts w:ascii="Calibri" w:hAnsi="Calibri"/>
          <w:i/>
        </w:rPr>
        <w:t xml:space="preserve">L’International </w:t>
      </w:r>
      <w:proofErr w:type="spellStart"/>
      <w:r w:rsidRPr="004B01A7">
        <w:rPr>
          <w:rFonts w:ascii="Calibri" w:hAnsi="Calibri"/>
          <w:i/>
        </w:rPr>
        <w:t>Coalition</w:t>
      </w:r>
      <w:proofErr w:type="spellEnd"/>
      <w:r w:rsidRPr="004B01A7">
        <w:rPr>
          <w:rFonts w:ascii="Calibri" w:hAnsi="Calibri"/>
          <w:i/>
        </w:rPr>
        <w:t xml:space="preserve"> of </w:t>
      </w:r>
      <w:proofErr w:type="spellStart"/>
      <w:r w:rsidRPr="004B01A7">
        <w:rPr>
          <w:rFonts w:ascii="Calibri" w:hAnsi="Calibri"/>
          <w:i/>
        </w:rPr>
        <w:t>Medicines</w:t>
      </w:r>
      <w:proofErr w:type="spellEnd"/>
      <w:r w:rsidRPr="004B01A7">
        <w:rPr>
          <w:rFonts w:ascii="Calibri" w:hAnsi="Calibri"/>
          <w:i/>
        </w:rPr>
        <w:t xml:space="preserve"> </w:t>
      </w:r>
      <w:proofErr w:type="spellStart"/>
      <w:r w:rsidRPr="004B01A7">
        <w:rPr>
          <w:rFonts w:ascii="Calibri" w:hAnsi="Calibri"/>
          <w:i/>
        </w:rPr>
        <w:t>Regulatory</w:t>
      </w:r>
      <w:proofErr w:type="spellEnd"/>
      <w:r w:rsidRPr="004B01A7">
        <w:rPr>
          <w:rFonts w:ascii="Calibri" w:hAnsi="Calibri"/>
          <w:i/>
        </w:rPr>
        <w:t xml:space="preserve"> </w:t>
      </w:r>
      <w:proofErr w:type="spellStart"/>
      <w:r w:rsidRPr="004B01A7">
        <w:rPr>
          <w:rFonts w:ascii="Calibri" w:hAnsi="Calibri"/>
          <w:i/>
        </w:rPr>
        <w:t>Authorities</w:t>
      </w:r>
      <w:proofErr w:type="spellEnd"/>
      <w:r w:rsidRPr="004B01A7">
        <w:rPr>
          <w:rFonts w:ascii="Calibri" w:hAnsi="Calibri"/>
          <w:i/>
        </w:rPr>
        <w:t xml:space="preserve"> (ICMRA), la coalizione internazionale che riunisce circa trenta capi agenzia del farmaco mondiali – tra cui anche l’AIFA – ha pubblicato sul proprio sito due dichiarazioni sui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>, rivolte ai pazienti e agli operatori sanitari, per evidenziare i vantaggi che tali farmaci possono fornire ai cittadini e ai sistemi sanitari, in termini di maggiori opzioni di trattamento, accesso e competitività economica.</w:t>
      </w: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  <w:r w:rsidRPr="004B01A7">
        <w:rPr>
          <w:rFonts w:ascii="Calibri" w:hAnsi="Calibri"/>
          <w:i/>
        </w:rPr>
        <w:t xml:space="preserve">Le due note, espressione di una condivisione generale e globale dei principi in esse contenuti da parte di tutte le agenzie </w:t>
      </w:r>
      <w:proofErr w:type="spellStart"/>
      <w:r w:rsidRPr="004B01A7">
        <w:rPr>
          <w:rFonts w:ascii="Calibri" w:hAnsi="Calibri"/>
          <w:i/>
        </w:rPr>
        <w:t>regolatorie</w:t>
      </w:r>
      <w:proofErr w:type="spellEnd"/>
      <w:r w:rsidRPr="004B01A7">
        <w:rPr>
          <w:rFonts w:ascii="Calibri" w:hAnsi="Calibri"/>
          <w:i/>
        </w:rPr>
        <w:t xml:space="preserve"> aderenti alla coalizione, ribadiscono la solidità dei processi di approvazione e di monitoraggio continuo della sicurezza ed efficacia dei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 e illustrano sinteticamente le caratteristiche e i benefici di tali medicinali.</w:t>
      </w: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  <w:r w:rsidRPr="004B01A7">
        <w:rPr>
          <w:rFonts w:ascii="Calibri" w:hAnsi="Calibri"/>
          <w:i/>
        </w:rPr>
        <w:t>Di seguito i principali contenuti delle dichiarazioni ICMRA.</w:t>
      </w: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  <w:r w:rsidRPr="004B01A7">
        <w:rPr>
          <w:rFonts w:ascii="Calibri" w:hAnsi="Calibri"/>
          <w:i/>
        </w:rPr>
        <w:t xml:space="preserve">Cosa sono 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>?</w:t>
      </w: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  <w:r w:rsidRPr="004B01A7">
        <w:rPr>
          <w:rFonts w:ascii="Calibri" w:hAnsi="Calibri"/>
          <w:i/>
        </w:rPr>
        <w:t xml:space="preserve">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 sono farmaci biologici molto simili a un farmaco biologico già approvato (definito “originator”) che non presentano differenze significative in termini di efficacia e sicurezza.</w:t>
      </w: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  <w:r w:rsidRPr="004B01A7">
        <w:rPr>
          <w:rFonts w:ascii="Calibri" w:hAnsi="Calibri"/>
          <w:i/>
        </w:rPr>
        <w:t xml:space="preserve">I farmaci biologici, compresi 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, sono spesso molecole grandi e complesse che possono essere prodotte da cellule viventi con l’impiego della biotecnologia. Sono medicinali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 piccole proteine come l’insulina e gli ormoni della crescita o proteine più grandi e complesse come gli anticorpi. Il loro utilizzo è previsto nel trattamento di patologie quali diabete, malattie infiammatorie, cancro.</w:t>
      </w: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  <w:r w:rsidRPr="004B01A7">
        <w:rPr>
          <w:rFonts w:ascii="Calibri" w:hAnsi="Calibri"/>
          <w:i/>
        </w:rPr>
        <w:t xml:space="preserve">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 sono farmaci biologici di comprovata qualità farmaceutica e vengono prodotti secondo gli stessi rigidi standard regolatori utilizzati per altri farmaci biologici. Vengono approvati solo dopo una severa valutazione scientifica da parte delle autorità </w:t>
      </w:r>
      <w:proofErr w:type="spellStart"/>
      <w:r w:rsidRPr="004B01A7">
        <w:rPr>
          <w:rFonts w:ascii="Calibri" w:hAnsi="Calibri"/>
          <w:i/>
        </w:rPr>
        <w:t>regolatorie</w:t>
      </w:r>
      <w:proofErr w:type="spellEnd"/>
      <w:r w:rsidRPr="004B01A7">
        <w:rPr>
          <w:rFonts w:ascii="Calibri" w:hAnsi="Calibri"/>
          <w:i/>
        </w:rPr>
        <w:t xml:space="preserve">, per dimostrare la loro somiglianza in termini di qualità, proprietà fisico-chimiche e strutturali, attività biologica con il rispettivo medicinale biologico di riferimento (originator), mediante dettagliati studi di laboratorio comparativi. I farmaci biologici presentano spesso strutture molecolari grandi e complesse; pertanto gli studi di comparabilità utilizzano una tecnologia di analisi altamente sensibile e all’avanguardia che consente un dettagliato e rigoroso esame e confronto dei farmaci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 con i loro originator. Tali studi di comparabilità sono richiesti in aggiunta alle informazioni complete sulla qualità farmaceutica e mirano inoltre ad con i biologici di riferimento. Una volta dimostrato che un </w:t>
      </w:r>
      <w:proofErr w:type="spellStart"/>
      <w:r w:rsidRPr="004B01A7">
        <w:rPr>
          <w:rFonts w:ascii="Calibri" w:hAnsi="Calibri"/>
          <w:i/>
        </w:rPr>
        <w:t>biosimilare</w:t>
      </w:r>
      <w:proofErr w:type="spellEnd"/>
      <w:r w:rsidRPr="004B01A7">
        <w:rPr>
          <w:rFonts w:ascii="Calibri" w:hAnsi="Calibri"/>
          <w:i/>
        </w:rPr>
        <w:t xml:space="preserve"> è molto simile all'originator ed escluse differenze clinicamente significative in termini di efficacia, sicurezza e </w:t>
      </w:r>
      <w:proofErr w:type="spellStart"/>
      <w:r w:rsidRPr="004B01A7">
        <w:rPr>
          <w:rFonts w:ascii="Calibri" w:hAnsi="Calibri"/>
          <w:i/>
        </w:rPr>
        <w:t>immunogenicità</w:t>
      </w:r>
      <w:proofErr w:type="spellEnd"/>
      <w:r w:rsidRPr="004B01A7">
        <w:rPr>
          <w:rFonts w:ascii="Calibri" w:hAnsi="Calibri"/>
          <w:i/>
        </w:rPr>
        <w:t xml:space="preserve">, esso può essere approvato per le stesse indicazioni terapeutiche del farmaco di riferimento sulla base dell'efficacia e della sicurezza stabilite per l’originator per ciascuna indicazione, evitando così la ripetizione di studi clinici. Non è necessario quindi un programma completo di sviluppo clinico, se approfonditi test di laboratorio dimostrano che il </w:t>
      </w:r>
      <w:proofErr w:type="spellStart"/>
      <w:r w:rsidRPr="004B01A7">
        <w:rPr>
          <w:rFonts w:ascii="Calibri" w:hAnsi="Calibri"/>
          <w:i/>
        </w:rPr>
        <w:t>biosimilare</w:t>
      </w:r>
      <w:proofErr w:type="spellEnd"/>
      <w:r w:rsidRPr="004B01A7">
        <w:rPr>
          <w:rFonts w:ascii="Calibri" w:hAnsi="Calibri"/>
          <w:i/>
        </w:rPr>
        <w:t xml:space="preserve"> è molto simile all'originator. </w:t>
      </w: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  <w:r w:rsidRPr="004B01A7">
        <w:rPr>
          <w:rFonts w:ascii="Calibri" w:hAnsi="Calibri"/>
          <w:i/>
        </w:rPr>
        <w:t xml:space="preserve">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 vengono usati in modo sicuro da molti anni. La sicurezza di tutti i medicinali presenti sul mercato, compresi 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, è monitorata dalla farmacovigilanza a tutela della salute dei pazienti. Le diverse agenzie </w:t>
      </w:r>
      <w:proofErr w:type="spellStart"/>
      <w:r w:rsidRPr="004B01A7">
        <w:rPr>
          <w:rFonts w:ascii="Calibri" w:hAnsi="Calibri"/>
          <w:i/>
        </w:rPr>
        <w:t>regolatorie</w:t>
      </w:r>
      <w:proofErr w:type="spellEnd"/>
      <w:r w:rsidRPr="004B01A7">
        <w:rPr>
          <w:rFonts w:ascii="Calibri" w:hAnsi="Calibri"/>
          <w:i/>
        </w:rPr>
        <w:t xml:space="preserve"> internazionali non hanno evidenziato differenze rilevanti </w:t>
      </w:r>
      <w:r w:rsidRPr="004B01A7">
        <w:rPr>
          <w:rFonts w:ascii="Calibri" w:hAnsi="Calibri"/>
          <w:i/>
        </w:rPr>
        <w:lastRenderedPageBreak/>
        <w:t xml:space="preserve">tra 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 e i rispettivi originator relativamente al tipo, alla gravità e/o alla frequenza degli effetti indesiderati segnalati.</w:t>
      </w: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  <w:r w:rsidRPr="004B01A7">
        <w:rPr>
          <w:rFonts w:ascii="Calibri" w:hAnsi="Calibri"/>
          <w:i/>
        </w:rPr>
        <w:t xml:space="preserve">A livello globale, i regolatori hanno fiducia nel rigore della revisione scientifica e del processo di approvazione dei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. Sebbene i percorsi regolatori per l’autorizzazione dei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 differiscano da un paese all'altro, essi sono solidi, come dimostrato da 13 anni di utilizzo dei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 in tutto il mondo. </w:t>
      </w: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  <w:r w:rsidRPr="004B01A7">
        <w:rPr>
          <w:rFonts w:ascii="Calibri" w:hAnsi="Calibri"/>
          <w:i/>
        </w:rPr>
        <w:t xml:space="preserve">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 aumentano la competizione tra i farmaci biologici, fornendo maggiori alternative di trattamento per pazienti e medici. La maggiore concorrenza permette di ridurre i prezzi dei prodotti biologici, consentendo un migliore accesso ai farmaci biologici per un numero maggiore di pazienti.</w:t>
      </w: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  <w:r w:rsidRPr="004B01A7">
        <w:rPr>
          <w:rFonts w:ascii="Calibri" w:hAnsi="Calibri"/>
          <w:i/>
        </w:rPr>
        <w:t xml:space="preserve">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 vengono usati sempre più nella pratica clinica nella maggior parte dei Paesi. Molte autorità </w:t>
      </w:r>
      <w:proofErr w:type="spellStart"/>
      <w:r w:rsidRPr="004B01A7">
        <w:rPr>
          <w:rFonts w:ascii="Calibri" w:hAnsi="Calibri"/>
          <w:i/>
        </w:rPr>
        <w:t>regolatorie</w:t>
      </w:r>
      <w:proofErr w:type="spellEnd"/>
      <w:r w:rsidRPr="004B01A7">
        <w:rPr>
          <w:rFonts w:ascii="Calibri" w:hAnsi="Calibri"/>
          <w:i/>
        </w:rPr>
        <w:t xml:space="preserve">, operatori sanitari e associazioni di medici convengono che non vi sono differenze clinicamente significative tra 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 e gli </w:t>
      </w:r>
      <w:proofErr w:type="spellStart"/>
      <w:r w:rsidRPr="004B01A7">
        <w:rPr>
          <w:rFonts w:ascii="Calibri" w:hAnsi="Calibri"/>
          <w:i/>
        </w:rPr>
        <w:t>originators</w:t>
      </w:r>
      <w:proofErr w:type="spellEnd"/>
      <w:r w:rsidRPr="004B01A7">
        <w:rPr>
          <w:rFonts w:ascii="Calibri" w:hAnsi="Calibri"/>
          <w:i/>
        </w:rPr>
        <w:t xml:space="preserve"> e che 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 rappresentano opzioni terapeutiche sicure ed efficaci che possono essere ugualmente prescritte ai pazienti. In particolare, il passaggio da originator a </w:t>
      </w:r>
      <w:proofErr w:type="spellStart"/>
      <w:r w:rsidRPr="004B01A7">
        <w:rPr>
          <w:rFonts w:ascii="Calibri" w:hAnsi="Calibri"/>
          <w:i/>
        </w:rPr>
        <w:t>biosimilare</w:t>
      </w:r>
      <w:proofErr w:type="spellEnd"/>
      <w:r w:rsidRPr="004B01A7">
        <w:rPr>
          <w:rFonts w:ascii="Calibri" w:hAnsi="Calibri"/>
          <w:i/>
        </w:rPr>
        <w:t xml:space="preserve"> in corso di terapia è una pratica clinica accettata in molti paesi. Alcuni Paesi prevedono interventi regolatori che consentono a determinate condizioni la sostituzione persino da parte del farmacista (cioè senza l'intervento del medico </w:t>
      </w:r>
      <w:proofErr w:type="spellStart"/>
      <w:r w:rsidRPr="004B01A7">
        <w:rPr>
          <w:rFonts w:ascii="Calibri" w:hAnsi="Calibri"/>
          <w:i/>
        </w:rPr>
        <w:t>prescrittore</w:t>
      </w:r>
      <w:proofErr w:type="spellEnd"/>
      <w:r w:rsidRPr="004B01A7">
        <w:rPr>
          <w:rFonts w:ascii="Calibri" w:hAnsi="Calibri"/>
          <w:i/>
        </w:rPr>
        <w:t>).</w:t>
      </w: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  <w:r w:rsidRPr="004B01A7">
        <w:rPr>
          <w:rFonts w:ascii="Calibri" w:hAnsi="Calibri"/>
          <w:i/>
        </w:rPr>
        <w:t xml:space="preserve">Anche l’Agenzia Italiana del Farmaco, come espresso nel secondo Position </w:t>
      </w:r>
      <w:proofErr w:type="spellStart"/>
      <w:r w:rsidRPr="004B01A7">
        <w:rPr>
          <w:rFonts w:ascii="Calibri" w:hAnsi="Calibri"/>
          <w:i/>
        </w:rPr>
        <w:t>Paper</w:t>
      </w:r>
      <w:proofErr w:type="spellEnd"/>
      <w:r w:rsidRPr="004B01A7">
        <w:rPr>
          <w:rFonts w:ascii="Calibri" w:hAnsi="Calibri"/>
          <w:i/>
        </w:rPr>
        <w:t xml:space="preserve"> sui Farmaci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, considera i </w:t>
      </w:r>
      <w:proofErr w:type="spellStart"/>
      <w:r w:rsidRPr="004B01A7">
        <w:rPr>
          <w:rFonts w:ascii="Calibri" w:hAnsi="Calibri"/>
          <w:i/>
        </w:rPr>
        <w:t>biosimilari</w:t>
      </w:r>
      <w:proofErr w:type="spellEnd"/>
      <w:r w:rsidRPr="004B01A7">
        <w:rPr>
          <w:rFonts w:ascii="Calibri" w:hAnsi="Calibri"/>
          <w:i/>
        </w:rPr>
        <w:t xml:space="preserve"> prodotti intercambiabili con i corrispondenti originatori (cosiddetto “</w:t>
      </w:r>
      <w:proofErr w:type="spellStart"/>
      <w:r w:rsidRPr="004B01A7">
        <w:rPr>
          <w:rFonts w:ascii="Calibri" w:hAnsi="Calibri"/>
          <w:i/>
        </w:rPr>
        <w:t>switch</w:t>
      </w:r>
      <w:proofErr w:type="spellEnd"/>
      <w:r w:rsidRPr="004B01A7">
        <w:rPr>
          <w:rFonts w:ascii="Calibri" w:hAnsi="Calibri"/>
          <w:i/>
        </w:rPr>
        <w:t>”), tanto per i pazienti avviati per la prima volta al trattamento (naïve) quanto per quelli già in terapia.</w:t>
      </w: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</w:p>
    <w:p w:rsidR="004B01A7" w:rsidRP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</w:p>
    <w:p w:rsidR="004B01A7" w:rsidRDefault="004B01A7" w:rsidP="004B01A7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  <w:r w:rsidRPr="004B01A7">
        <w:rPr>
          <w:rFonts w:ascii="Calibri" w:hAnsi="Calibri"/>
          <w:i/>
        </w:rPr>
        <w:t>Pubblicato il: 04 ottobre 2019</w:t>
      </w:r>
    </w:p>
    <w:p w:rsidR="004B01A7" w:rsidRPr="00977502" w:rsidRDefault="004B01A7" w:rsidP="002E66F6">
      <w:pPr>
        <w:tabs>
          <w:tab w:val="left" w:pos="4253"/>
          <w:tab w:val="left" w:pos="4395"/>
          <w:tab w:val="left" w:pos="5245"/>
        </w:tabs>
        <w:spacing w:line="280" w:lineRule="atLeast"/>
        <w:jc w:val="both"/>
        <w:rPr>
          <w:rFonts w:ascii="Calibri" w:hAnsi="Calibri"/>
          <w:i/>
        </w:rPr>
      </w:pPr>
    </w:p>
    <w:p w:rsidR="00F44907" w:rsidRDefault="00F44907"/>
    <w:sectPr w:rsidR="00F44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3914"/>
    <w:multiLevelType w:val="hybridMultilevel"/>
    <w:tmpl w:val="FC5CE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30"/>
    <w:rsid w:val="002E66F6"/>
    <w:rsid w:val="004B01A7"/>
    <w:rsid w:val="00AF1F30"/>
    <w:rsid w:val="00F44907"/>
    <w:rsid w:val="00F8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6F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6F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793</Words>
  <Characters>4522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Colasuonno Francesco</dc:creator>
  <cp:keywords/>
  <dc:description/>
  <cp:lastModifiedBy>Colasuonno Francesco</cp:lastModifiedBy>
  <cp:revision>4</cp:revision>
  <dcterms:created xsi:type="dcterms:W3CDTF">2019-10-02T11:41:00Z</dcterms:created>
  <dcterms:modified xsi:type="dcterms:W3CDTF">2019-10-07T09:34:00Z</dcterms:modified>
</cp:coreProperties>
</file>