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12" w:rsidRDefault="00C4327E" w:rsidP="001A3A22">
      <w:pPr>
        <w:pStyle w:val="Titolo1"/>
        <w:jc w:val="center"/>
        <w:rPr>
          <w:color w:val="auto"/>
          <w:u w:val="single"/>
        </w:rPr>
      </w:pPr>
      <w:bookmarkStart w:id="0" w:name="_GoBack"/>
      <w:r>
        <w:rPr>
          <w:color w:val="auto"/>
          <w:u w:val="single"/>
        </w:rPr>
        <w:t>COMUNICATO STAMPA</w:t>
      </w:r>
    </w:p>
    <w:p w:rsidR="00C4327E" w:rsidRDefault="00C4327E" w:rsidP="00C4327E">
      <w:pPr>
        <w:rPr>
          <w:lang w:eastAsia="en-US"/>
        </w:rPr>
      </w:pPr>
    </w:p>
    <w:p w:rsidR="00C4327E" w:rsidRDefault="00C4327E" w:rsidP="00C4327E">
      <w:pPr>
        <w:rPr>
          <w:lang w:eastAsia="en-US"/>
        </w:rPr>
      </w:pPr>
    </w:p>
    <w:p w:rsidR="00C4327E" w:rsidRDefault="00C4327E" w:rsidP="00C4327E">
      <w:pPr>
        <w:pStyle w:val="Titolo1"/>
      </w:pPr>
      <w:r>
        <w:t>Salute e sanità al femminile, ASL Bari approva il primo Bilancio di genere</w:t>
      </w:r>
    </w:p>
    <w:p w:rsidR="00C4327E" w:rsidRDefault="00C4327E" w:rsidP="00C4327E">
      <w:pPr>
        <w:pStyle w:val="Titolo1"/>
      </w:pPr>
    </w:p>
    <w:p w:rsidR="00C4327E" w:rsidRDefault="00C4327E" w:rsidP="00C4327E"/>
    <w:p w:rsidR="00196C12" w:rsidRPr="00C4327E" w:rsidRDefault="00C4327E" w:rsidP="00C4327E">
      <w:pPr>
        <w:rPr>
          <w:i/>
        </w:rPr>
        <w:sectPr w:rsidR="00196C12" w:rsidRPr="00C4327E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  <w:r w:rsidRPr="00C4327E">
        <w:rPr>
          <w:i/>
        </w:rPr>
        <w:t xml:space="preserve">Presentata oggi una analisi innovativa su servizi sanitari e posizioni lavorative </w:t>
      </w:r>
      <w:r>
        <w:rPr>
          <w:i/>
        </w:rPr>
        <w:t>con protagoniste le donne</w:t>
      </w:r>
    </w:p>
    <w:p w:rsidR="00196C12" w:rsidRPr="008F10DF" w:rsidRDefault="00196C12" w:rsidP="008F10DF">
      <w:pPr>
        <w:pStyle w:val="Titolo1"/>
        <w:rPr>
          <w:color w:val="auto"/>
        </w:rPr>
        <w:sectPr w:rsidR="00196C12" w:rsidRPr="008F10DF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DF0271" w:rsidRDefault="00C4327E" w:rsidP="00AA2A0F">
      <w:pPr>
        <w:jc w:val="both"/>
      </w:pPr>
      <w:r w:rsidRPr="00C4327E">
        <w:rPr>
          <w:b/>
          <w:i/>
        </w:rPr>
        <w:lastRenderedPageBreak/>
        <w:t>Bari, 21 dicembre 2021</w:t>
      </w:r>
      <w:r>
        <w:t xml:space="preserve"> - </w:t>
      </w:r>
      <w:r w:rsidR="00DF0271" w:rsidRPr="009F16EE">
        <w:t xml:space="preserve">La ASL di BARI è la </w:t>
      </w:r>
      <w:r w:rsidR="00DF0271" w:rsidRPr="00C4327E">
        <w:t>prima azienda sanitaria in Italia</w:t>
      </w:r>
      <w:r w:rsidR="00DF0271" w:rsidRPr="009F16EE">
        <w:t xml:space="preserve"> ad aver approvato un </w:t>
      </w:r>
      <w:r w:rsidR="00DF0271" w:rsidRPr="00C4327E">
        <w:t>Bilancio di genere</w:t>
      </w:r>
      <w:r>
        <w:t>. Si tratta di un’</w:t>
      </w:r>
      <w:r w:rsidR="00DF0271" w:rsidRPr="009F16EE">
        <w:t xml:space="preserve">analisi innovativa, specifica del settore sanitario, che dimostra come il genere sia un </w:t>
      </w:r>
      <w:r w:rsidR="00DF0271" w:rsidRPr="00C4327E">
        <w:t>determinante di salute</w:t>
      </w:r>
      <w:r w:rsidR="00DF0271" w:rsidRPr="009F16EE">
        <w:t xml:space="preserve"> e che le donne, assai spesso, hanno minori possibilità di proteggere e promuovere la loro salute fisica, emotiva e mentale, anche in ragione di un inferiore accesso alle informazioni e ai servizi sanitari. </w:t>
      </w:r>
      <w:r w:rsidR="00A67E48" w:rsidRPr="009F16EE">
        <w:t>A questo si affianca</w:t>
      </w:r>
      <w:r w:rsidR="002E0C03">
        <w:t xml:space="preserve"> una fotografia della distribuzione del personale donna nella ASL e i relativi ruoli.</w:t>
      </w:r>
    </w:p>
    <w:p w:rsidR="00C4327E" w:rsidRDefault="00C4327E" w:rsidP="00C4327E">
      <w:pPr>
        <w:jc w:val="both"/>
      </w:pPr>
    </w:p>
    <w:p w:rsidR="00C4327E" w:rsidRPr="009F16EE" w:rsidRDefault="00C4327E" w:rsidP="00C4327E">
      <w:pPr>
        <w:jc w:val="both"/>
      </w:pPr>
      <w:r>
        <w:t xml:space="preserve">I dettagli sono stati illustrati oggi nel corso di un incontro presso l’Auditorium Arcobaleno dell’ex Cto con direttore generale </w:t>
      </w:r>
      <w:r w:rsidRPr="001700A3">
        <w:rPr>
          <w:b/>
        </w:rPr>
        <w:t>Antonio Sanguedolce</w:t>
      </w:r>
      <w:r>
        <w:t xml:space="preserve">, </w:t>
      </w:r>
      <w:r w:rsidRPr="001700A3">
        <w:rPr>
          <w:b/>
        </w:rPr>
        <w:t>Loredana Capone</w:t>
      </w:r>
      <w:r>
        <w:t xml:space="preserve">, presidente del Consiglio Regione Puglia,  </w:t>
      </w:r>
      <w:r w:rsidRPr="001700A3">
        <w:rPr>
          <w:b/>
        </w:rPr>
        <w:t>Rosa Barone</w:t>
      </w:r>
      <w:r>
        <w:t xml:space="preserve">, Assessora Welfare e Pari opportunità, </w:t>
      </w:r>
      <w:r w:rsidRPr="001700A3">
        <w:rPr>
          <w:b/>
        </w:rPr>
        <w:t xml:space="preserve">Domenica </w:t>
      </w:r>
      <w:proofErr w:type="spellStart"/>
      <w:r w:rsidRPr="001700A3">
        <w:rPr>
          <w:b/>
        </w:rPr>
        <w:t>Munno</w:t>
      </w:r>
      <w:proofErr w:type="spellEnd"/>
      <w:r w:rsidRPr="001700A3">
        <w:rPr>
          <w:b/>
        </w:rPr>
        <w:t>,</w:t>
      </w:r>
      <w:r>
        <w:t xml:space="preserve"> presidente </w:t>
      </w:r>
      <w:proofErr w:type="spellStart"/>
      <w:r>
        <w:t>Cug</w:t>
      </w:r>
      <w:proofErr w:type="spellEnd"/>
      <w:r>
        <w:t xml:space="preserve"> ASL Bari e </w:t>
      </w:r>
      <w:r w:rsidRPr="001700A3">
        <w:rPr>
          <w:b/>
        </w:rPr>
        <w:t>Yanko Tedeschi</w:t>
      </w:r>
      <w:r>
        <w:t>, direttore Area gestione risorse finanziarie ASL Bari.</w:t>
      </w:r>
    </w:p>
    <w:p w:rsidR="008F10DF" w:rsidRPr="009F16EE" w:rsidRDefault="008F10DF" w:rsidP="00AA2A0F">
      <w:pPr>
        <w:jc w:val="both"/>
      </w:pPr>
    </w:p>
    <w:p w:rsidR="00DF0271" w:rsidRDefault="00384FE7" w:rsidP="00AA2A0F">
      <w:pPr>
        <w:jc w:val="both"/>
      </w:pPr>
      <w:r w:rsidRPr="009F16EE">
        <w:t xml:space="preserve"> “</w:t>
      </w:r>
      <w:r w:rsidR="008F10DF" w:rsidRPr="009F16EE">
        <w:t>La AS</w:t>
      </w:r>
      <w:r w:rsidRPr="009F16EE">
        <w:t xml:space="preserve">L di Bari ha istituito un comitato </w:t>
      </w:r>
      <w:r w:rsidR="008F10DF" w:rsidRPr="009F16EE">
        <w:t>operativo per stilare il bilancio</w:t>
      </w:r>
      <w:r w:rsidR="002D6B0B">
        <w:t xml:space="preserve"> di genere</w:t>
      </w:r>
      <w:r w:rsidR="008F10DF" w:rsidRPr="009F16EE">
        <w:t xml:space="preserve"> </w:t>
      </w:r>
      <w:r w:rsidR="00C4327E">
        <w:t xml:space="preserve"> - ha spiegato il dg </w:t>
      </w:r>
      <w:r w:rsidR="00C4327E" w:rsidRPr="002E0C03">
        <w:rPr>
          <w:b/>
        </w:rPr>
        <w:t>Sanguedolce</w:t>
      </w:r>
      <w:r w:rsidR="00C4327E">
        <w:t xml:space="preserve"> - </w:t>
      </w:r>
      <w:r w:rsidR="008F10DF" w:rsidRPr="009F16EE">
        <w:t xml:space="preserve">partendo da un presupposto: il genere è un </w:t>
      </w:r>
      <w:r w:rsidR="008F10DF" w:rsidRPr="00C4327E">
        <w:t>determinante di salute</w:t>
      </w:r>
      <w:r w:rsidR="008F10DF" w:rsidRPr="009F16EE">
        <w:t xml:space="preserve"> ossia un fattore alla pari di status sociale, economico, lavorativo, di stili di vita e comportamento</w:t>
      </w:r>
      <w:r w:rsidRPr="009F16EE">
        <w:t xml:space="preserve"> che incide sul benessere e sulla salute delle persone. </w:t>
      </w:r>
      <w:r w:rsidR="002D6B0B">
        <w:t>La</w:t>
      </w:r>
      <w:r w:rsidRPr="009F16EE">
        <w:t xml:space="preserve"> volontà aziendale è quella di contribuire a </w:t>
      </w:r>
      <w:r w:rsidRPr="00C4327E">
        <w:t>ridurre le diseguaglianze di genere</w:t>
      </w:r>
      <w:r w:rsidRPr="009F16EE">
        <w:t xml:space="preserve"> attraverso una distribuzione più equa delle risorse mediante due azioni: sensibilizzare la comunità della provincia di Bari sulla questione di genere e riaffermare i principi di trasparenza e partecipazione per quanto riguarda l’utilizzo delle risorse pubbliche e la programmazione</w:t>
      </w:r>
      <w:r w:rsidR="00C4327E">
        <w:t>”</w:t>
      </w:r>
      <w:r w:rsidRPr="009F16EE">
        <w:t xml:space="preserve">. </w:t>
      </w:r>
    </w:p>
    <w:p w:rsidR="001C02CC" w:rsidRDefault="001C02CC" w:rsidP="00AA2A0F">
      <w:pPr>
        <w:jc w:val="both"/>
      </w:pPr>
    </w:p>
    <w:p w:rsidR="002067D8" w:rsidRDefault="001C02CC" w:rsidP="002067D8">
      <w:pPr>
        <w:jc w:val="both"/>
      </w:pPr>
      <w:r>
        <w:lastRenderedPageBreak/>
        <w:t xml:space="preserve">Il Bilancio di genere è </w:t>
      </w:r>
      <w:r w:rsidR="002067D8">
        <w:t xml:space="preserve">solo </w:t>
      </w:r>
      <w:r>
        <w:t xml:space="preserve">l’ultima iniziativa in ordine di tempo che la ASL </w:t>
      </w:r>
      <w:r w:rsidR="002067D8">
        <w:t xml:space="preserve">ha adottato nel percorso di promozione della Pari opportunità segnato da un’altra importante tappa: l’adozione delle </w:t>
      </w:r>
      <w:r w:rsidR="002067D8" w:rsidRPr="002067D8">
        <w:rPr>
          <w:b/>
        </w:rPr>
        <w:t>Raccomandazioni per l’uso del genere nel linguaggio amministrativo</w:t>
      </w:r>
      <w:r w:rsidR="002067D8">
        <w:t>, ossia un atto ufficiale che rivoluziona l’uso delle parole nei documenti amministrativi nel rispetto delle differenze di genere. Per questo la ASL di Bari è stata premiata come azienda all’avanguardia in tema di contrasto alle discriminazioni.</w:t>
      </w:r>
    </w:p>
    <w:p w:rsidR="00C4327E" w:rsidRDefault="00C4327E" w:rsidP="002067D8">
      <w:pPr>
        <w:jc w:val="both"/>
      </w:pPr>
    </w:p>
    <w:p w:rsidR="00C4327E" w:rsidRDefault="002E0C03" w:rsidP="002067D8">
      <w:pPr>
        <w:jc w:val="both"/>
      </w:pPr>
      <w:r>
        <w:t>“</w:t>
      </w:r>
      <w:r w:rsidRPr="002E0C03">
        <w:t xml:space="preserve">Un grande lavoro il bilancio di genere dell’Asl Bari - ha detto la </w:t>
      </w:r>
      <w:r w:rsidRPr="002E0C03">
        <w:rPr>
          <w:b/>
        </w:rPr>
        <w:t>Presidente del Consiglio regionale della Puglia, Loredana Capone</w:t>
      </w:r>
      <w:r w:rsidRPr="002E0C03">
        <w:t xml:space="preserve"> - perché, da un lato, rende trasparente dati importantissimi per la nostra comunità scegliendo di non mettere la polvere sotto al tappeto ma di guardare in faccia la realtà, dall’altro perché attorno a questi dati si è voluto costruire un ragionamento che si concretizzerà in un vero e proprio piano per il futuro.  </w:t>
      </w:r>
      <w:r>
        <w:t xml:space="preserve">Se </w:t>
      </w:r>
      <w:r w:rsidRPr="002E0C03">
        <w:t>è vero che la maggior parte del personale sanitario è donna, altrettanto vero è che sono ancora pochissime le direttrici di dipartimento. È evidente che c’è un problema culturale, che affonda le sue radici nel fatto che ancora oggi il compito di cura della famiglia, dei genitori, della casa, è ancora affidato alle sole donne e così una donna finisce per fare quattro lavori anziché uno. Una battaglia culturale che</w:t>
      </w:r>
      <w:r>
        <w:t xml:space="preserve"> – ha concluso Capone -</w:t>
      </w:r>
      <w:r w:rsidRPr="002E0C03">
        <w:t xml:space="preserve"> dobbiamo combattere fin da piccoli, perché il presente e il futuro hanno bisogno di donne e uomini insieme, e perché solo così riusciremo a costruire davvero un Paese a misura di tutte e tutti</w:t>
      </w:r>
      <w:r>
        <w:t xml:space="preserve">”. </w:t>
      </w:r>
    </w:p>
    <w:p w:rsidR="001700A3" w:rsidRDefault="001700A3" w:rsidP="002067D8">
      <w:pPr>
        <w:jc w:val="both"/>
      </w:pPr>
    </w:p>
    <w:p w:rsidR="001700A3" w:rsidRDefault="001700A3" w:rsidP="002067D8">
      <w:pPr>
        <w:jc w:val="both"/>
      </w:pPr>
      <w:r w:rsidRPr="001700A3">
        <w:t>La Regione Puglia ha introdotto il Bilancio di Genere con la legge 7/2007, Bilancio di Genere che è poi diventato ob</w:t>
      </w:r>
      <w:r>
        <w:t xml:space="preserve">bligatorio a livello nazionale </w:t>
      </w:r>
      <w:r w:rsidRPr="001700A3">
        <w:t xml:space="preserve">con la legge 15/2014. Si tratta di uno strumento importante che consente di incidere sulla promozione dell’occupazione, sulla riduzione della povertà e sulla conciliazione dei tempi di vita e di lavoro sulla base di un set di indicatori.  </w:t>
      </w:r>
      <w:r>
        <w:t>“I</w:t>
      </w:r>
      <w:r w:rsidRPr="001700A3">
        <w:t xml:space="preserve">l bilancio di Genere si inserisce in una serie di iniziative che la nostra regione porta avanti da anni </w:t>
      </w:r>
      <w:r>
        <w:t xml:space="preserve">- </w:t>
      </w:r>
      <w:r w:rsidR="001A3A22">
        <w:t>h</w:t>
      </w:r>
      <w:r>
        <w:t xml:space="preserve">a detto durante il suo intervento l’assessora al Welfare </w:t>
      </w:r>
      <w:r w:rsidRPr="001700A3">
        <w:rPr>
          <w:b/>
        </w:rPr>
        <w:t>Rosa Barone</w:t>
      </w:r>
      <w:r>
        <w:rPr>
          <w:b/>
        </w:rPr>
        <w:t xml:space="preserve">- </w:t>
      </w:r>
      <w:r w:rsidRPr="001700A3">
        <w:t>per superare i divari di genere e per la piena partecipazione delle donne alla vita sociale, economica e culturale in linea con gli obiettivi dell’Agenda ONU 2030. Siamo la prima regione in Italia ad essersi dotata dell’Agenda di Genere, che ha come obiettivi la conciliazione vita-lavoro sia in ottica di condivisione del lavoro di cura familiare fra uomini e donne, che di servizi di welfare efficaci, di infrastrutture agibili e possibili, di una rete di assistenza domiciliare rafforzata e capillare. Lavoriamo tutti per un unico obiettivo: il miglioramento della qualità della vita degli uomini e delle donne di questa regione</w:t>
      </w:r>
      <w:r>
        <w:t>”</w:t>
      </w:r>
      <w:r w:rsidRPr="001700A3">
        <w:t>.</w:t>
      </w:r>
    </w:p>
    <w:p w:rsidR="00C4327E" w:rsidRDefault="00C4327E" w:rsidP="002067D8">
      <w:pPr>
        <w:jc w:val="both"/>
      </w:pPr>
    </w:p>
    <w:p w:rsidR="001700A3" w:rsidRPr="009F16EE" w:rsidRDefault="001700A3" w:rsidP="001700A3">
      <w:pPr>
        <w:jc w:val="both"/>
      </w:pPr>
      <w:r w:rsidRPr="009F16EE">
        <w:t>A realizzare il Bilancio, attraverso raccolta analisi e elaborazione dei dati, un gruppo di lavoro</w:t>
      </w:r>
      <w:r>
        <w:t xml:space="preserve"> della ASL</w:t>
      </w:r>
      <w:r w:rsidRPr="009F16EE">
        <w:t xml:space="preserve"> composto da: Area gestione risorse finanziarie, </w:t>
      </w:r>
      <w:proofErr w:type="spellStart"/>
      <w:r w:rsidRPr="009F16EE">
        <w:t>Cug</w:t>
      </w:r>
      <w:proofErr w:type="spellEnd"/>
      <w:r w:rsidRPr="009F16EE">
        <w:t xml:space="preserve"> (comitato unico garanzia), Controllo di gestione, Responsabile per la Prevenzione e Corruzione e Trasparenza, Ufficio stampa e Distretto socio sanitario 3.  </w:t>
      </w:r>
    </w:p>
    <w:p w:rsidR="00C4327E" w:rsidRDefault="00C4327E" w:rsidP="002067D8">
      <w:pPr>
        <w:jc w:val="both"/>
      </w:pPr>
    </w:p>
    <w:p w:rsidR="001700A3" w:rsidRPr="009F16EE" w:rsidRDefault="001700A3" w:rsidP="001700A3">
      <w:pPr>
        <w:jc w:val="both"/>
      </w:pPr>
      <w:r>
        <w:lastRenderedPageBreak/>
        <w:t xml:space="preserve">“E’ stato un lavoro di rielaborazione dei dati che è riuscito a superare anche la difficoltà di reperire le informazioni – ha detto </w:t>
      </w:r>
      <w:r w:rsidRPr="00F55E61">
        <w:rPr>
          <w:b/>
        </w:rPr>
        <w:t>Yanko Tedeschi</w:t>
      </w:r>
      <w:r>
        <w:t xml:space="preserve">, direttore Area gestione risorse finanziarie ASL Bari – ma agevolato dalla forte sensibilità della direzione a questi temi. E’ un unicum del mondo sanitario nazionale </w:t>
      </w:r>
      <w:r w:rsidR="00F55E61">
        <w:t xml:space="preserve"> perché esistono pochissime esperienze ma non declinate sui temi della salute – ha aggiunto – e che quindi getta le basi partendo dalla analisi dei dati per una programmazione futura efficace nell’ambito delle Pari opportunità”. </w:t>
      </w:r>
    </w:p>
    <w:p w:rsidR="00C4327E" w:rsidRDefault="001700A3" w:rsidP="002067D8">
      <w:pPr>
        <w:jc w:val="both"/>
      </w:pPr>
      <w:r>
        <w:t xml:space="preserve"> </w:t>
      </w:r>
    </w:p>
    <w:p w:rsidR="00C4327E" w:rsidRDefault="00C4327E" w:rsidP="00AA2A0F">
      <w:pPr>
        <w:jc w:val="both"/>
      </w:pPr>
      <w:r>
        <w:t>“</w:t>
      </w:r>
      <w:r w:rsidR="0096017A">
        <w:t xml:space="preserve">La nuova sfida sarà quella di ottenere la </w:t>
      </w:r>
      <w:r w:rsidR="0096017A" w:rsidRPr="00C4327E">
        <w:t>Certificazione di pari opportunità</w:t>
      </w:r>
      <w:r w:rsidR="0096017A">
        <w:t xml:space="preserve"> </w:t>
      </w:r>
      <w:r>
        <w:t xml:space="preserve">– ha commentato la referente del </w:t>
      </w:r>
      <w:proofErr w:type="spellStart"/>
      <w:r>
        <w:t>Cug</w:t>
      </w:r>
      <w:proofErr w:type="spellEnd"/>
      <w:r w:rsidR="001A3A22">
        <w:t>,</w:t>
      </w:r>
      <w:r>
        <w:t xml:space="preserve"> </w:t>
      </w:r>
      <w:r w:rsidRPr="00F55E61">
        <w:rPr>
          <w:b/>
        </w:rPr>
        <w:t xml:space="preserve">Domenica </w:t>
      </w:r>
      <w:proofErr w:type="spellStart"/>
      <w:r w:rsidRPr="00F55E61">
        <w:rPr>
          <w:b/>
        </w:rPr>
        <w:t>Munno</w:t>
      </w:r>
      <w:proofErr w:type="spellEnd"/>
      <w:r>
        <w:t xml:space="preserve"> - </w:t>
      </w:r>
      <w:r w:rsidR="0096017A">
        <w:t xml:space="preserve">e del relativo sistema premiale </w:t>
      </w:r>
      <w:r w:rsidR="005274DF">
        <w:t xml:space="preserve">che permette alle aziende di accedere a fondi europei e nazionali dopo aver attestato le politiche e le misure concrete per ridurre il divario di genere in relazione alle opportunità di crescita in azienda. </w:t>
      </w:r>
      <w:r w:rsidR="00384FE7" w:rsidRPr="009F16EE">
        <w:t>La programmazione e rend</w:t>
      </w:r>
      <w:r w:rsidR="009E1067" w:rsidRPr="009F16EE">
        <w:t>icontazione di genere è prevista</w:t>
      </w:r>
      <w:r w:rsidR="00384FE7" w:rsidRPr="009F16EE">
        <w:t xml:space="preserve"> dal </w:t>
      </w:r>
      <w:r w:rsidR="00384FE7" w:rsidRPr="00C4327E">
        <w:t>Piano Azioni positive 2021-2023</w:t>
      </w:r>
      <w:r w:rsidR="00384FE7" w:rsidRPr="009F16EE">
        <w:rPr>
          <w:b/>
        </w:rPr>
        <w:t xml:space="preserve"> </w:t>
      </w:r>
      <w:r w:rsidR="00384FE7" w:rsidRPr="009F16EE">
        <w:t>approvato insieme al Piano della performance della ASL</w:t>
      </w:r>
      <w:r>
        <w:t>”</w:t>
      </w:r>
      <w:r w:rsidR="00384FE7" w:rsidRPr="009F16EE">
        <w:t xml:space="preserve">. </w:t>
      </w:r>
    </w:p>
    <w:p w:rsidR="00C4327E" w:rsidRDefault="00C4327E" w:rsidP="00AA2A0F">
      <w:pPr>
        <w:jc w:val="both"/>
      </w:pPr>
    </w:p>
    <w:p w:rsidR="00C4327E" w:rsidRDefault="00C4327E" w:rsidP="00AA2A0F">
      <w:pPr>
        <w:jc w:val="both"/>
      </w:pPr>
    </w:p>
    <w:p w:rsidR="003969E7" w:rsidRPr="009F16EE" w:rsidRDefault="003969E7" w:rsidP="00AA2A0F">
      <w:pPr>
        <w:jc w:val="both"/>
      </w:pPr>
    </w:p>
    <w:p w:rsidR="008F10DF" w:rsidRPr="009F16EE" w:rsidRDefault="008F10DF" w:rsidP="00DF0271">
      <w:pPr>
        <w:jc w:val="both"/>
        <w:rPr>
          <w:b/>
        </w:rPr>
      </w:pPr>
      <w:r w:rsidRPr="009F16EE">
        <w:rPr>
          <w:b/>
        </w:rPr>
        <w:t>Le tappe normative</w:t>
      </w:r>
    </w:p>
    <w:p w:rsidR="001E6D21" w:rsidRPr="009F16EE" w:rsidRDefault="008F10DF" w:rsidP="00DF0271">
      <w:pPr>
        <w:jc w:val="both"/>
      </w:pPr>
      <w:r w:rsidRPr="009F16EE">
        <w:t xml:space="preserve">L’esperienza del bilancio di genere è piuttosto recente nelle pubbliche amministrazioni: una prima raccomandazione risale al </w:t>
      </w:r>
      <w:r w:rsidRPr="009F16EE">
        <w:rPr>
          <w:b/>
        </w:rPr>
        <w:t>2007</w:t>
      </w:r>
      <w:r w:rsidRPr="009F16EE">
        <w:t xml:space="preserve">, a cui segue nel </w:t>
      </w:r>
      <w:r w:rsidRPr="009F16EE">
        <w:rPr>
          <w:b/>
        </w:rPr>
        <w:t xml:space="preserve">2009 </w:t>
      </w:r>
      <w:r w:rsidRPr="009F16EE">
        <w:t>l’inserimento del bilancio di genere nel ciclo di gestione della performance.</w:t>
      </w:r>
    </w:p>
    <w:p w:rsidR="008F10DF" w:rsidRPr="009F16EE" w:rsidRDefault="008F10DF" w:rsidP="00DF0271">
      <w:pPr>
        <w:jc w:val="both"/>
      </w:pPr>
      <w:r w:rsidRPr="009F16EE">
        <w:t xml:space="preserve">Nel </w:t>
      </w:r>
      <w:r w:rsidRPr="009F16EE">
        <w:rPr>
          <w:b/>
        </w:rPr>
        <w:t>2016</w:t>
      </w:r>
      <w:r w:rsidRPr="009F16EE">
        <w:t xml:space="preserve"> prende avvio una attività sperimentale del Ministero dell’Economia per valutare il diverso impatto della politica di bilancio sulle donne e sugli uomini, fino ad arrivare al </w:t>
      </w:r>
      <w:r w:rsidRPr="009F16EE">
        <w:rPr>
          <w:b/>
        </w:rPr>
        <w:t xml:space="preserve">2019 </w:t>
      </w:r>
      <w:r w:rsidRPr="009F16EE">
        <w:t xml:space="preserve">quando con la direttiva della Presidenza del Consiglio dei ministri il bilancio di genere viene auspicato come pratica da consolidare nelle attività di rendicontazione sociale delle amministrazioni. </w:t>
      </w:r>
    </w:p>
    <w:p w:rsidR="00612BB0" w:rsidRPr="009F16EE" w:rsidRDefault="00612BB0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</w:p>
    <w:p w:rsidR="003969E7" w:rsidRPr="00754BCA" w:rsidRDefault="00754BCA" w:rsidP="00612BB0">
      <w:pPr>
        <w:shd w:val="clear" w:color="auto" w:fill="FFFFFF"/>
        <w:spacing w:line="235" w:lineRule="atLeast"/>
        <w:jc w:val="both"/>
        <w:rPr>
          <w:rFonts w:eastAsia="Times New Roman" w:cs="Calibri"/>
          <w:b/>
          <w:color w:val="222222"/>
        </w:rPr>
      </w:pPr>
      <w:r w:rsidRPr="00754BCA">
        <w:rPr>
          <w:rFonts w:eastAsia="Times New Roman" w:cs="Calibri"/>
          <w:b/>
          <w:color w:val="222222"/>
        </w:rPr>
        <w:t xml:space="preserve">I servizi sanitari </w:t>
      </w:r>
    </w:p>
    <w:p w:rsidR="003A7870" w:rsidRPr="009F16EE" w:rsidRDefault="003969E7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  <w:r w:rsidRPr="009F16EE">
        <w:rPr>
          <w:rFonts w:eastAsia="Times New Roman" w:cs="Calibri"/>
          <w:b/>
          <w:color w:val="222222"/>
        </w:rPr>
        <w:t>Nel 2020 la ASL ha erogato 5.059.462 prestazioni</w:t>
      </w:r>
      <w:r w:rsidRPr="009F16EE">
        <w:rPr>
          <w:rFonts w:eastAsia="Times New Roman" w:cs="Calibri"/>
          <w:color w:val="222222"/>
        </w:rPr>
        <w:t xml:space="preserve"> </w:t>
      </w:r>
      <w:r w:rsidRPr="009F16EE">
        <w:rPr>
          <w:rFonts w:eastAsia="Times New Roman" w:cs="Calibri"/>
          <w:b/>
          <w:color w:val="222222"/>
        </w:rPr>
        <w:t>ambulatoriali</w:t>
      </w:r>
      <w:r w:rsidRPr="009F16EE">
        <w:rPr>
          <w:rFonts w:eastAsia="Times New Roman" w:cs="Calibri"/>
          <w:color w:val="222222"/>
        </w:rPr>
        <w:t xml:space="preserve">: di queste il </w:t>
      </w:r>
      <w:r w:rsidRPr="00270DA5">
        <w:rPr>
          <w:rFonts w:eastAsia="Times New Roman" w:cs="Calibri"/>
          <w:b/>
          <w:color w:val="222222"/>
        </w:rPr>
        <w:t xml:space="preserve">57,6% a donne e 42,4% a uomini. </w:t>
      </w:r>
      <w:r w:rsidRPr="009F16EE">
        <w:rPr>
          <w:rFonts w:eastAsia="Times New Roman" w:cs="Calibri"/>
          <w:color w:val="222222"/>
        </w:rPr>
        <w:t>Anche nei ricoveri è superiore la percentuale femminile: dei 27.790 utenti che nel 2020 hanno avuto accesso alle strutture ospedaliere, il 57.1% è donna e il 42,9% è di sesso maschile. Per quanto riguarda l’estensione degli screening oncologici del carcinoma mammario  e della cervice uterina tra il 2018 e il 2020</w:t>
      </w:r>
      <w:r w:rsidR="003A7870" w:rsidRPr="009F16EE">
        <w:rPr>
          <w:rFonts w:eastAsia="Times New Roman" w:cs="Calibri"/>
          <w:color w:val="222222"/>
        </w:rPr>
        <w:t xml:space="preserve">, si evidenziano per il tumore al seno </w:t>
      </w:r>
      <w:r w:rsidR="00270DA5">
        <w:rPr>
          <w:rFonts w:eastAsia="Times New Roman" w:cs="Calibri"/>
          <w:color w:val="222222"/>
        </w:rPr>
        <w:t xml:space="preserve">estensioni pari a </w:t>
      </w:r>
      <w:r w:rsidR="003A7870" w:rsidRPr="009F16EE">
        <w:rPr>
          <w:rFonts w:eastAsia="Times New Roman" w:cs="Calibri"/>
          <w:color w:val="222222"/>
        </w:rPr>
        <w:t xml:space="preserve">31% (2018); 43,0% (2019) e  18,6% (2020, anno di pandemia)  e per il carcinoma cervice uterina 100% (2018 – 2019) e 51,3%  (2020 anno di pandemia). Infine continua ad essere più significativa la sensibilità delle donne nei confronti delle vaccinazioni: nell’anno 2020 il 52,96 per cento delle dosi di vaccino antinfluenzale è stato somministrato a utenti donne. </w:t>
      </w:r>
    </w:p>
    <w:p w:rsidR="001E6D21" w:rsidRDefault="001E6D21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</w:p>
    <w:p w:rsidR="00754BCA" w:rsidRPr="00754BCA" w:rsidRDefault="00754BCA" w:rsidP="00612BB0">
      <w:pPr>
        <w:shd w:val="clear" w:color="auto" w:fill="FFFFFF"/>
        <w:spacing w:line="235" w:lineRule="atLeast"/>
        <w:jc w:val="both"/>
        <w:rPr>
          <w:rFonts w:eastAsia="Times New Roman" w:cs="Calibri"/>
          <w:b/>
          <w:color w:val="222222"/>
        </w:rPr>
      </w:pPr>
      <w:r w:rsidRPr="00754BCA">
        <w:rPr>
          <w:rFonts w:eastAsia="Times New Roman" w:cs="Calibri"/>
          <w:b/>
          <w:color w:val="222222"/>
        </w:rPr>
        <w:t>I costi</w:t>
      </w:r>
    </w:p>
    <w:p w:rsidR="001E6D21" w:rsidRDefault="00064019" w:rsidP="00612BB0">
      <w:pPr>
        <w:shd w:val="clear" w:color="auto" w:fill="FFFFFF"/>
        <w:spacing w:line="235" w:lineRule="atLeast"/>
        <w:jc w:val="both"/>
        <w:rPr>
          <w:rFonts w:eastAsia="Times New Roman" w:cs="Calibri"/>
          <w:b/>
          <w:color w:val="222222"/>
        </w:rPr>
      </w:pPr>
      <w:r w:rsidRPr="009F16EE">
        <w:rPr>
          <w:rFonts w:eastAsia="Times New Roman" w:cs="Calibri"/>
          <w:color w:val="222222"/>
        </w:rPr>
        <w:lastRenderedPageBreak/>
        <w:t xml:space="preserve">La riclassificazione per genere dei </w:t>
      </w:r>
      <w:r w:rsidRPr="00D74902">
        <w:rPr>
          <w:rFonts w:eastAsia="Times New Roman" w:cs="Calibri"/>
          <w:b/>
          <w:color w:val="222222"/>
        </w:rPr>
        <w:t>costi sostenuti dalla azienda</w:t>
      </w:r>
      <w:r w:rsidRPr="009F16EE">
        <w:rPr>
          <w:rFonts w:eastAsia="Times New Roman" w:cs="Calibri"/>
          <w:color w:val="222222"/>
        </w:rPr>
        <w:t xml:space="preserve"> rispecchia la composizione della popolazione </w:t>
      </w:r>
      <w:r w:rsidR="009F16EE" w:rsidRPr="009F16EE">
        <w:rPr>
          <w:rFonts w:eastAsia="Times New Roman" w:cs="Calibri"/>
          <w:color w:val="222222"/>
        </w:rPr>
        <w:t xml:space="preserve">assistita, </w:t>
      </w:r>
      <w:r w:rsidRPr="009F16EE">
        <w:rPr>
          <w:rFonts w:eastAsia="Times New Roman" w:cs="Calibri"/>
          <w:color w:val="222222"/>
        </w:rPr>
        <w:t xml:space="preserve">mentre si registrano </w:t>
      </w:r>
      <w:r w:rsidR="009F16EE" w:rsidRPr="009F16EE">
        <w:rPr>
          <w:rFonts w:eastAsia="Times New Roman" w:cs="Calibri"/>
          <w:color w:val="222222"/>
        </w:rPr>
        <w:t xml:space="preserve">una prevalenza di destinatari donne per l’assistenza sanitaria in ambiente di vita e di lavoro e una prevalenza del genere maschile </w:t>
      </w:r>
      <w:r w:rsidR="009F16EE">
        <w:rPr>
          <w:rFonts w:eastAsia="Times New Roman" w:cs="Calibri"/>
          <w:color w:val="222222"/>
        </w:rPr>
        <w:t xml:space="preserve">nel ricorso alla assistenza ospedaliera. </w:t>
      </w:r>
      <w:r w:rsidR="00D74902">
        <w:rPr>
          <w:rFonts w:eastAsia="Times New Roman" w:cs="Calibri"/>
          <w:color w:val="222222"/>
        </w:rPr>
        <w:t xml:space="preserve">I costi per utenti donne nel 2020 sono stati pari a </w:t>
      </w:r>
      <w:r w:rsidR="00D74902" w:rsidRPr="009F16EE">
        <w:rPr>
          <w:rFonts w:eastAsia="Times New Roman" w:cs="Calibri"/>
          <w:color w:val="222222"/>
        </w:rPr>
        <w:t xml:space="preserve">pari a </w:t>
      </w:r>
      <w:r w:rsidR="00D74902" w:rsidRPr="009F16EE">
        <w:rPr>
          <w:rFonts w:eastAsia="Times New Roman" w:cs="Calibri"/>
          <w:b/>
          <w:color w:val="222222"/>
        </w:rPr>
        <w:t>1.136.758.902</w:t>
      </w:r>
      <w:r w:rsidR="00D74902">
        <w:rPr>
          <w:rFonts w:eastAsia="Times New Roman" w:cs="Calibri"/>
          <w:b/>
          <w:color w:val="222222"/>
        </w:rPr>
        <w:t xml:space="preserve"> e per gli uomini 1.072.258.940. </w:t>
      </w:r>
    </w:p>
    <w:p w:rsidR="00D74902" w:rsidRDefault="00D74902" w:rsidP="00612BB0">
      <w:pPr>
        <w:shd w:val="clear" w:color="auto" w:fill="FFFFFF"/>
        <w:spacing w:line="235" w:lineRule="atLeast"/>
        <w:jc w:val="both"/>
        <w:rPr>
          <w:rFonts w:eastAsia="Times New Roman" w:cs="Calibri"/>
          <w:b/>
          <w:color w:val="222222"/>
        </w:rPr>
      </w:pPr>
    </w:p>
    <w:p w:rsidR="00754BCA" w:rsidRDefault="00754BCA" w:rsidP="00612BB0">
      <w:pPr>
        <w:shd w:val="clear" w:color="auto" w:fill="FFFFFF"/>
        <w:spacing w:line="235" w:lineRule="atLeast"/>
        <w:jc w:val="both"/>
        <w:rPr>
          <w:rFonts w:eastAsia="Times New Roman" w:cs="Calibri"/>
          <w:b/>
          <w:color w:val="222222"/>
        </w:rPr>
      </w:pPr>
      <w:r>
        <w:rPr>
          <w:rFonts w:eastAsia="Times New Roman" w:cs="Calibri"/>
          <w:b/>
          <w:color w:val="222222"/>
        </w:rPr>
        <w:t>Le posizioni aziendali</w:t>
      </w:r>
    </w:p>
    <w:p w:rsidR="00D74902" w:rsidRPr="00D74902" w:rsidRDefault="00D74902" w:rsidP="00612BB0">
      <w:pPr>
        <w:shd w:val="clear" w:color="auto" w:fill="FFFFFF"/>
        <w:spacing w:line="235" w:lineRule="atLeast"/>
        <w:jc w:val="both"/>
        <w:rPr>
          <w:rFonts w:eastAsia="Times New Roman" w:cs="Calibri"/>
          <w:b/>
          <w:color w:val="222222"/>
        </w:rPr>
      </w:pPr>
      <w:r>
        <w:rPr>
          <w:rFonts w:eastAsia="Times New Roman" w:cs="Calibri"/>
          <w:color w:val="222222"/>
        </w:rPr>
        <w:t xml:space="preserve">Mentre nel comparto la ripartizione del personale di sesso femminile è molto alta, subisce una riduzione nella </w:t>
      </w:r>
      <w:r w:rsidRPr="001700A3">
        <w:rPr>
          <w:rFonts w:eastAsia="Times New Roman" w:cs="Calibri"/>
          <w:b/>
          <w:color w:val="222222"/>
        </w:rPr>
        <w:t>dirigenza</w:t>
      </w:r>
      <w:r>
        <w:rPr>
          <w:rFonts w:eastAsia="Times New Roman" w:cs="Calibri"/>
          <w:color w:val="222222"/>
        </w:rPr>
        <w:t xml:space="preserve"> (passa da 63,67% al 51,78%). </w:t>
      </w:r>
    </w:p>
    <w:p w:rsidR="001E6D21" w:rsidRDefault="00D74902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>La componente rosa resta garantita nella direzione aziendale. Si riduce invece la presenza delle donne nel ruolo di dirigenti nelle Unità operative semplici (38,94%), nelle Unità operative complesse (16,95%) e come direttori di Dipartimento (11%).</w:t>
      </w:r>
    </w:p>
    <w:p w:rsidR="00F90739" w:rsidRDefault="00315821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 xml:space="preserve">Il </w:t>
      </w:r>
      <w:proofErr w:type="spellStart"/>
      <w:r>
        <w:rPr>
          <w:rFonts w:eastAsia="Times New Roman" w:cs="Calibri"/>
          <w:color w:val="222222"/>
        </w:rPr>
        <w:t>Cug</w:t>
      </w:r>
      <w:proofErr w:type="spellEnd"/>
      <w:r>
        <w:rPr>
          <w:rFonts w:eastAsia="Times New Roman" w:cs="Calibri"/>
          <w:color w:val="222222"/>
        </w:rPr>
        <w:t xml:space="preserve"> ha poi fornito i dati di ricorso delle donne al </w:t>
      </w:r>
      <w:r w:rsidRPr="00F90739">
        <w:rPr>
          <w:rFonts w:eastAsia="Times New Roman" w:cs="Calibri"/>
          <w:b/>
          <w:color w:val="222222"/>
        </w:rPr>
        <w:t>lavoro agile</w:t>
      </w:r>
      <w:r w:rsidR="00F90739">
        <w:rPr>
          <w:rFonts w:eastAsia="Times New Roman" w:cs="Calibri"/>
          <w:color w:val="222222"/>
        </w:rPr>
        <w:t xml:space="preserve">: nella dirigenza nel 2020 109 dipendenti hanno fatto ricorso allo </w:t>
      </w:r>
      <w:proofErr w:type="spellStart"/>
      <w:r w:rsidR="00F90739">
        <w:rPr>
          <w:rFonts w:eastAsia="Times New Roman" w:cs="Calibri"/>
          <w:color w:val="222222"/>
        </w:rPr>
        <w:t>smart</w:t>
      </w:r>
      <w:proofErr w:type="spellEnd"/>
      <w:r w:rsidR="00F90739">
        <w:rPr>
          <w:rFonts w:eastAsia="Times New Roman" w:cs="Calibri"/>
          <w:color w:val="222222"/>
        </w:rPr>
        <w:t xml:space="preserve"> </w:t>
      </w:r>
      <w:proofErr w:type="spellStart"/>
      <w:r w:rsidR="00F90739">
        <w:rPr>
          <w:rFonts w:eastAsia="Times New Roman" w:cs="Calibri"/>
          <w:color w:val="222222"/>
        </w:rPr>
        <w:t>working</w:t>
      </w:r>
      <w:proofErr w:type="spellEnd"/>
      <w:r w:rsidR="00F90739">
        <w:rPr>
          <w:rFonts w:eastAsia="Times New Roman" w:cs="Calibri"/>
          <w:color w:val="222222"/>
        </w:rPr>
        <w:t xml:space="preserve"> rispetto a 70 uomini, e nel comparto, 418 donne a fronte di 178 uomini.</w:t>
      </w:r>
    </w:p>
    <w:p w:rsidR="00315821" w:rsidRDefault="00F90739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 xml:space="preserve">Disparità si evincono infine nelle commissioni di concorso che, come messo in evidenza dal Bilancio di genere, sono state formate quasi sempre – 11 casi su 13 – da componenti di sesso maschile. </w:t>
      </w:r>
    </w:p>
    <w:p w:rsidR="00387B78" w:rsidRDefault="00387B78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</w:p>
    <w:p w:rsidR="00754BCA" w:rsidRPr="00754BCA" w:rsidRDefault="00754BCA" w:rsidP="00612BB0">
      <w:pPr>
        <w:shd w:val="clear" w:color="auto" w:fill="FFFFFF"/>
        <w:spacing w:line="235" w:lineRule="atLeast"/>
        <w:jc w:val="both"/>
        <w:rPr>
          <w:rFonts w:eastAsia="Times New Roman" w:cs="Calibri"/>
          <w:b/>
          <w:color w:val="222222"/>
        </w:rPr>
      </w:pPr>
      <w:r w:rsidRPr="00754BCA">
        <w:rPr>
          <w:rFonts w:eastAsia="Times New Roman" w:cs="Calibri"/>
          <w:b/>
          <w:color w:val="222222"/>
        </w:rPr>
        <w:t>Le iniziative</w:t>
      </w:r>
    </w:p>
    <w:p w:rsidR="001E6D21" w:rsidRPr="001700A3" w:rsidRDefault="00387B78" w:rsidP="00612BB0">
      <w:pPr>
        <w:shd w:val="clear" w:color="auto" w:fill="FFFFFF"/>
        <w:spacing w:line="235" w:lineRule="atLeast"/>
        <w:jc w:val="both"/>
        <w:rPr>
          <w:rFonts w:ascii="Cambria" w:eastAsia="Times New Roman" w:hAnsi="Cambria" w:cs="Calibri"/>
          <w:color w:val="222222"/>
        </w:rPr>
      </w:pPr>
      <w:r w:rsidRPr="001700A3">
        <w:rPr>
          <w:rFonts w:ascii="Cambria" w:eastAsia="Times New Roman" w:hAnsi="Cambria" w:cs="Calibri"/>
          <w:color w:val="222222"/>
        </w:rPr>
        <w:t xml:space="preserve">Diverse sono state le iniziative promosse dalla ASL nel corso del 2020 in favore della sensibilizzazione alle politiche di genere che hanno portato ad esempio all’assegnazione a </w:t>
      </w:r>
      <w:r w:rsidRPr="001700A3">
        <w:rPr>
          <w:rFonts w:ascii="Cambria" w:eastAsia="Times New Roman" w:hAnsi="Cambria" w:cs="Calibri"/>
          <w:b/>
          <w:color w:val="222222"/>
        </w:rPr>
        <w:t>tre strutture ospedaliere dei Bollini rosa</w:t>
      </w:r>
      <w:r w:rsidRPr="001700A3">
        <w:rPr>
          <w:rFonts w:ascii="Cambria" w:eastAsia="Times New Roman" w:hAnsi="Cambria" w:cs="Calibri"/>
          <w:color w:val="222222"/>
        </w:rPr>
        <w:t xml:space="preserve"> della fondazione Onda (osservatorio nazionale sulla salute della donna e di genere).</w:t>
      </w:r>
    </w:p>
    <w:p w:rsidR="001C02CC" w:rsidRPr="001700A3" w:rsidRDefault="00387B78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  <w:r w:rsidRPr="001700A3">
        <w:rPr>
          <w:rFonts w:ascii="Cambria" w:eastAsia="Times New Roman" w:hAnsi="Cambria" w:cs="Calibri"/>
          <w:color w:val="222222"/>
        </w:rPr>
        <w:t xml:space="preserve">A Monopoli sono state erogate </w:t>
      </w:r>
      <w:r w:rsidRPr="001700A3">
        <w:rPr>
          <w:rFonts w:ascii="Cambria" w:eastAsia="Times New Roman" w:hAnsi="Cambria" w:cs="Calibri"/>
          <w:b/>
          <w:color w:val="222222"/>
        </w:rPr>
        <w:t>visite gratuite per le donne in situazione di fragilità socio economica</w:t>
      </w:r>
      <w:r w:rsidRPr="001700A3">
        <w:rPr>
          <w:rFonts w:ascii="Cambria" w:eastAsia="Times New Roman" w:hAnsi="Cambria" w:cs="Calibri"/>
          <w:color w:val="222222"/>
        </w:rPr>
        <w:t xml:space="preserve"> e durante la pandemia sono stati ad esempio organizzati </w:t>
      </w:r>
      <w:r w:rsidRPr="001700A3">
        <w:rPr>
          <w:rFonts w:ascii="Cambria" w:eastAsia="Times New Roman" w:hAnsi="Cambria" w:cs="Calibri"/>
          <w:b/>
          <w:color w:val="222222"/>
        </w:rPr>
        <w:t>corsi di preparazione on line con le ostetriche della ASL</w:t>
      </w:r>
      <w:r w:rsidRPr="001700A3">
        <w:rPr>
          <w:rFonts w:ascii="Cambria" w:eastAsia="Times New Roman" w:hAnsi="Cambria" w:cs="Calibri"/>
          <w:color w:val="222222"/>
        </w:rPr>
        <w:t xml:space="preserve">. In occasione della settimana dedicata alla salute mentale femminile, sono state organizzate </w:t>
      </w:r>
      <w:r w:rsidRPr="001700A3">
        <w:rPr>
          <w:rFonts w:ascii="Cambria" w:eastAsia="Times New Roman" w:hAnsi="Cambria" w:cs="Calibri"/>
          <w:b/>
          <w:color w:val="222222"/>
        </w:rPr>
        <w:t>visite specialistiche, screening e punti informativi dedicati alle donne</w:t>
      </w:r>
      <w:r w:rsidRPr="001700A3">
        <w:rPr>
          <w:rFonts w:ascii="Cambria" w:eastAsia="Times New Roman" w:hAnsi="Cambria" w:cs="Calibri"/>
          <w:color w:val="222222"/>
        </w:rPr>
        <w:t xml:space="preserve"> e ancora la mostra itinerante “</w:t>
      </w:r>
      <w:proofErr w:type="spellStart"/>
      <w:r w:rsidRPr="001700A3">
        <w:rPr>
          <w:rFonts w:ascii="Cambria" w:eastAsia="Times New Roman" w:hAnsi="Cambria" w:cs="Calibri"/>
          <w:i/>
          <w:color w:val="222222"/>
        </w:rPr>
        <w:t>What</w:t>
      </w:r>
      <w:proofErr w:type="spellEnd"/>
      <w:r w:rsidRPr="001700A3">
        <w:rPr>
          <w:rFonts w:ascii="Cambria" w:eastAsia="Times New Roman" w:hAnsi="Cambria" w:cs="Calibri"/>
          <w:i/>
          <w:color w:val="222222"/>
        </w:rPr>
        <w:t xml:space="preserve"> </w:t>
      </w:r>
      <w:proofErr w:type="spellStart"/>
      <w:r w:rsidRPr="001700A3">
        <w:rPr>
          <w:rFonts w:ascii="Cambria" w:eastAsia="Times New Roman" w:hAnsi="Cambria" w:cs="Calibri"/>
          <w:i/>
          <w:color w:val="222222"/>
        </w:rPr>
        <w:t>Were</w:t>
      </w:r>
      <w:proofErr w:type="spellEnd"/>
      <w:r w:rsidRPr="001700A3">
        <w:rPr>
          <w:rFonts w:ascii="Cambria" w:eastAsia="Times New Roman" w:hAnsi="Cambria" w:cs="Calibri"/>
          <w:i/>
          <w:color w:val="222222"/>
        </w:rPr>
        <w:t xml:space="preserve"> </w:t>
      </w:r>
      <w:proofErr w:type="spellStart"/>
      <w:r w:rsidRPr="001700A3">
        <w:rPr>
          <w:rFonts w:ascii="Cambria" w:eastAsia="Times New Roman" w:hAnsi="Cambria" w:cs="Calibri"/>
          <w:i/>
          <w:color w:val="222222"/>
        </w:rPr>
        <w:t>You</w:t>
      </w:r>
      <w:proofErr w:type="spellEnd"/>
      <w:r w:rsidRPr="001700A3">
        <w:rPr>
          <w:rFonts w:ascii="Cambria" w:eastAsia="Times New Roman" w:hAnsi="Cambria" w:cs="Calibri"/>
          <w:i/>
          <w:color w:val="222222"/>
        </w:rPr>
        <w:t xml:space="preserve"> </w:t>
      </w:r>
      <w:proofErr w:type="spellStart"/>
      <w:r w:rsidRPr="001700A3">
        <w:rPr>
          <w:rFonts w:eastAsia="Times New Roman" w:cs="Calibri"/>
          <w:i/>
          <w:color w:val="222222"/>
        </w:rPr>
        <w:t>Wearing</w:t>
      </w:r>
      <w:proofErr w:type="spellEnd"/>
      <w:r w:rsidRPr="001700A3">
        <w:rPr>
          <w:rFonts w:eastAsia="Times New Roman" w:cs="Calibri"/>
          <w:i/>
          <w:color w:val="222222"/>
        </w:rPr>
        <w:t>?”</w:t>
      </w:r>
      <w:r w:rsidR="001C02CC" w:rsidRPr="001700A3">
        <w:rPr>
          <w:rFonts w:eastAsia="Times New Roman" w:cs="Calibri"/>
          <w:color w:val="222222"/>
        </w:rPr>
        <w:t xml:space="preserve">orientata a sensibilizzare l’utenza sul </w:t>
      </w:r>
      <w:r w:rsidR="001C02CC" w:rsidRPr="001700A3">
        <w:rPr>
          <w:rFonts w:eastAsia="Times New Roman" w:cs="Calibri"/>
          <w:b/>
          <w:color w:val="222222"/>
        </w:rPr>
        <w:t>tema della violenza sulle donne</w:t>
      </w:r>
      <w:r w:rsidR="001C02CC" w:rsidRPr="001700A3">
        <w:rPr>
          <w:rFonts w:eastAsia="Times New Roman" w:cs="Calibri"/>
          <w:color w:val="222222"/>
        </w:rPr>
        <w:t xml:space="preserve"> e a far cadere il pregiudizio sugli stereotipi esistenti tra alcuni tipi di abbigliamento e la violenza sessuale.</w:t>
      </w:r>
    </w:p>
    <w:p w:rsidR="001C02CC" w:rsidRDefault="001C02CC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</w:p>
    <w:p w:rsidR="00F55E61" w:rsidRDefault="00F55E61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</w:p>
    <w:p w:rsidR="00F55E61" w:rsidRDefault="00F55E61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</w:p>
    <w:p w:rsidR="00F55E61" w:rsidRPr="001700A3" w:rsidRDefault="00F55E61" w:rsidP="00612BB0">
      <w:pPr>
        <w:shd w:val="clear" w:color="auto" w:fill="FFFFFF"/>
        <w:spacing w:line="235" w:lineRule="atLeast"/>
        <w:jc w:val="both"/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>____________________________________________</w:t>
      </w:r>
    </w:p>
    <w:p w:rsidR="00F55E61" w:rsidRDefault="00F55E61" w:rsidP="00F55E61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</w:rPr>
      </w:pPr>
      <w:r>
        <w:rPr>
          <w:rFonts w:ascii="Calibri" w:hAnsi="Calibri" w:cs="Calibri"/>
          <w:color w:val="3C3C3B"/>
          <w:sz w:val="28"/>
          <w:szCs w:val="28"/>
        </w:rPr>
        <w:t>Valentina Marzo</w:t>
      </w:r>
    </w:p>
    <w:p w:rsidR="00F55E61" w:rsidRDefault="00F55E61" w:rsidP="00F55E61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</w:rPr>
      </w:pPr>
      <w:r>
        <w:rPr>
          <w:rFonts w:ascii="Calibri" w:hAnsi="Calibri" w:cs="Calibri"/>
          <w:color w:val="3C3C3B"/>
          <w:sz w:val="28"/>
          <w:szCs w:val="28"/>
        </w:rPr>
        <w:t>Addetta stampa ASL Bari</w:t>
      </w:r>
    </w:p>
    <w:p w:rsidR="00F55E61" w:rsidRDefault="00F55E61" w:rsidP="00F55E61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</w:rPr>
      </w:pPr>
      <w:r>
        <w:rPr>
          <w:rFonts w:ascii="Calibri" w:hAnsi="Calibri" w:cs="Calibri"/>
          <w:color w:val="3C3C3B"/>
          <w:sz w:val="28"/>
          <w:szCs w:val="28"/>
        </w:rPr>
        <w:t>Informazione e Comunicazione</w:t>
      </w:r>
    </w:p>
    <w:p w:rsidR="00F55E61" w:rsidRDefault="006565C6" w:rsidP="00F55E61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</w:rPr>
      </w:pPr>
      <w:hyperlink r:id="rId10" w:tgtFrame="_blank" w:history="1">
        <w:r w:rsidR="00F55E61">
          <w:rPr>
            <w:rStyle w:val="Collegamentoipertestuale"/>
            <w:rFonts w:ascii="Calibri" w:hAnsi="Calibri" w:cs="Calibri"/>
            <w:color w:val="00008B"/>
            <w:sz w:val="28"/>
            <w:szCs w:val="28"/>
          </w:rPr>
          <w:t>Valentina.marzo@asl.bari.it</w:t>
        </w:r>
      </w:hyperlink>
    </w:p>
    <w:p w:rsidR="001C02CC" w:rsidRPr="001700A3" w:rsidRDefault="001C02CC" w:rsidP="00612BB0">
      <w:pPr>
        <w:shd w:val="clear" w:color="auto" w:fill="FFFFFF"/>
        <w:spacing w:line="235" w:lineRule="atLeast"/>
        <w:jc w:val="both"/>
        <w:rPr>
          <w:rFonts w:eastAsia="Times New Roman" w:cs="Calibri"/>
          <w:b/>
          <w:color w:val="222222"/>
        </w:rPr>
      </w:pPr>
    </w:p>
    <w:p w:rsidR="007E24B1" w:rsidRPr="007E24B1" w:rsidRDefault="007E24B1" w:rsidP="00851755">
      <w:pPr>
        <w:pStyle w:val="Corpolettera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bookmarkEnd w:id="0"/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CC" w:rsidRDefault="009917CC" w:rsidP="00905314">
      <w:r>
        <w:separator/>
      </w:r>
    </w:p>
  </w:endnote>
  <w:endnote w:type="continuationSeparator" w:id="0">
    <w:p w:rsidR="009917CC" w:rsidRDefault="009917CC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6565C6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<v:path arrowok="t"/>
          <v:textbox>
            <w:txbxContent>
              <w:p w:rsidR="007A5EB6" w:rsidRPr="007A5EB6" w:rsidRDefault="007A5EB6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2A5909" w:rsidRPr="00483D23" w:rsidRDefault="008973CF" w:rsidP="00483D23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</w:t>
                </w:r>
                <w:proofErr w:type="spellStart"/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Starita</w:t>
                </w:r>
                <w:proofErr w:type="spellEnd"/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, 6 </w:t>
                </w:r>
                <w:r w:rsidR="005F764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 w:rsidR="007A5EB6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A5EB6" w:rsidRDefault="006565C6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  <w:hyperlink r:id="rId1" w:history="1">
                  <w:r w:rsidR="00CC44E2" w:rsidRPr="005A5EFD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  <w:lang w:val="en-US"/>
                    </w:rPr>
                    <w:t>ufficio.stampa@asl.bari.it</w:t>
                  </w:r>
                </w:hyperlink>
                <w:r w:rsidR="00CC44E2"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  <w:t xml:space="preserve"> </w:t>
                </w:r>
              </w:p>
              <w:p w:rsidR="00CC44E2" w:rsidRDefault="00CC44E2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  <w:r w:rsidRPr="00CC44E2"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  <w:t>https://www.sanita.puglia.it/web/asl-bari</w:t>
                </w:r>
              </w:p>
              <w:p w:rsidR="00CC44E2" w:rsidRPr="00BA5CDF" w:rsidRDefault="00CC44E2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</w:p>
              <w:p w:rsidR="005F7640" w:rsidRPr="00BA5CDF" w:rsidRDefault="005F764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  <w:lang w:val="en-US"/>
                  </w:rPr>
                </w:pPr>
              </w:p>
            </w:txbxContent>
          </v:textbox>
          <w10:wrap anchorx="margin"/>
        </v:shape>
      </w:pic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CC" w:rsidRDefault="009917CC" w:rsidP="00905314">
      <w:r>
        <w:separator/>
      </w:r>
    </w:p>
  </w:footnote>
  <w:footnote w:type="continuationSeparator" w:id="0">
    <w:p w:rsidR="009917CC" w:rsidRDefault="009917CC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6565C6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8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<v:path arrowok="t"/>
          <v:textbox>
            <w:txbxContent>
              <w:p w:rsidR="005F7640" w:rsidRPr="000453DC" w:rsidRDefault="00555C96" w:rsidP="00A47439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</w:t>
                </w:r>
                <w:r w:rsidR="008973CF">
                  <w:rPr>
                    <w:rFonts w:ascii="Calibri" w:hAnsi="Calibri"/>
                    <w:color w:val="AA6368"/>
                  </w:rPr>
                  <w:t>enda Sanitaria L</w:t>
                </w:r>
                <w:r>
                  <w:rPr>
                    <w:rFonts w:ascii="Calibri" w:hAnsi="Calibri"/>
                    <w:color w:val="AA6368"/>
                  </w:rPr>
                  <w:t>ocale della Provincia di Bari</w:t>
                </w:r>
              </w:p>
            </w:txbxContent>
          </v:textbox>
        </v:shape>
      </w:pic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47E9C"/>
    <w:rsid w:val="00064019"/>
    <w:rsid w:val="0007451A"/>
    <w:rsid w:val="00092985"/>
    <w:rsid w:val="001700A3"/>
    <w:rsid w:val="00174C28"/>
    <w:rsid w:val="0018329B"/>
    <w:rsid w:val="00196C12"/>
    <w:rsid w:val="001A3A22"/>
    <w:rsid w:val="001C02CC"/>
    <w:rsid w:val="001C4D18"/>
    <w:rsid w:val="001D6C68"/>
    <w:rsid w:val="001E6D21"/>
    <w:rsid w:val="002067D8"/>
    <w:rsid w:val="00234674"/>
    <w:rsid w:val="00270DA5"/>
    <w:rsid w:val="0028544F"/>
    <w:rsid w:val="002A5909"/>
    <w:rsid w:val="002D6B0B"/>
    <w:rsid w:val="002E0C03"/>
    <w:rsid w:val="0030484C"/>
    <w:rsid w:val="00315821"/>
    <w:rsid w:val="00365705"/>
    <w:rsid w:val="00384FE7"/>
    <w:rsid w:val="00387B78"/>
    <w:rsid w:val="003969E7"/>
    <w:rsid w:val="003A7870"/>
    <w:rsid w:val="00483D23"/>
    <w:rsid w:val="004C4F2E"/>
    <w:rsid w:val="004F5B3D"/>
    <w:rsid w:val="005012E2"/>
    <w:rsid w:val="00502992"/>
    <w:rsid w:val="005274DF"/>
    <w:rsid w:val="00555C96"/>
    <w:rsid w:val="00580193"/>
    <w:rsid w:val="005E4C53"/>
    <w:rsid w:val="005F13CA"/>
    <w:rsid w:val="005F7640"/>
    <w:rsid w:val="00612BB0"/>
    <w:rsid w:val="0064439F"/>
    <w:rsid w:val="006565C6"/>
    <w:rsid w:val="006A2321"/>
    <w:rsid w:val="00713D0A"/>
    <w:rsid w:val="0074318A"/>
    <w:rsid w:val="007475A5"/>
    <w:rsid w:val="00754BCA"/>
    <w:rsid w:val="007560C1"/>
    <w:rsid w:val="007976B2"/>
    <w:rsid w:val="007A5EB6"/>
    <w:rsid w:val="007E24B1"/>
    <w:rsid w:val="00833EF3"/>
    <w:rsid w:val="00851755"/>
    <w:rsid w:val="0086717D"/>
    <w:rsid w:val="008763E8"/>
    <w:rsid w:val="008973CF"/>
    <w:rsid w:val="008C7A4E"/>
    <w:rsid w:val="008F10DF"/>
    <w:rsid w:val="0090019C"/>
    <w:rsid w:val="00905314"/>
    <w:rsid w:val="0096017A"/>
    <w:rsid w:val="009917CC"/>
    <w:rsid w:val="009977F6"/>
    <w:rsid w:val="009C428C"/>
    <w:rsid w:val="009E1067"/>
    <w:rsid w:val="009F16EE"/>
    <w:rsid w:val="00A001B0"/>
    <w:rsid w:val="00A21B59"/>
    <w:rsid w:val="00A26363"/>
    <w:rsid w:val="00A47439"/>
    <w:rsid w:val="00A516BC"/>
    <w:rsid w:val="00A67E48"/>
    <w:rsid w:val="00A740C7"/>
    <w:rsid w:val="00A77CE2"/>
    <w:rsid w:val="00A92727"/>
    <w:rsid w:val="00AA2A0F"/>
    <w:rsid w:val="00AB1212"/>
    <w:rsid w:val="00AE2404"/>
    <w:rsid w:val="00B119A9"/>
    <w:rsid w:val="00BA3118"/>
    <w:rsid w:val="00BA5CDF"/>
    <w:rsid w:val="00BA7F95"/>
    <w:rsid w:val="00C12317"/>
    <w:rsid w:val="00C2354F"/>
    <w:rsid w:val="00C4327E"/>
    <w:rsid w:val="00C47E98"/>
    <w:rsid w:val="00C70198"/>
    <w:rsid w:val="00CC44E2"/>
    <w:rsid w:val="00D74902"/>
    <w:rsid w:val="00DD5041"/>
    <w:rsid w:val="00DF0271"/>
    <w:rsid w:val="00E30DC3"/>
    <w:rsid w:val="00ED3236"/>
    <w:rsid w:val="00EF2520"/>
    <w:rsid w:val="00F27124"/>
    <w:rsid w:val="00F55E61"/>
    <w:rsid w:val="00F56267"/>
    <w:rsid w:val="00F90739"/>
    <w:rsid w:val="00FB3B34"/>
    <w:rsid w:val="00FD3910"/>
    <w:rsid w:val="00FE3C0C"/>
    <w:rsid w:val="00FE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F55E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bject">
    <w:name w:val="object"/>
    <w:basedOn w:val="Carpredefinitoparagrafo"/>
    <w:rsid w:val="00F55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EA472A-A82B-4F59-B814-E85C2EB9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2020-01-18T10:30:00Z</cp:lastPrinted>
  <dcterms:created xsi:type="dcterms:W3CDTF">2021-12-21T13:42:00Z</dcterms:created>
  <dcterms:modified xsi:type="dcterms:W3CDTF">2021-12-21T13:42:00Z</dcterms:modified>
</cp:coreProperties>
</file>