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6554153</wp:posOffset>
                </wp:positionH>
                <wp:positionV relativeFrom="page">
                  <wp:posOffset>10111423</wp:posOffset>
                </wp:positionV>
                <wp:extent cx="292100" cy="136525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4713" y="3716500"/>
                          <a:ext cx="2825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4071" w:rsidRDefault="00302836">
                            <w:pPr>
                              <w:spacing w:line="19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 di 6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6554153</wp:posOffset>
                </wp:positionH>
                <wp:positionV relativeFrom="page">
                  <wp:posOffset>10111423</wp:posOffset>
                </wp:positionV>
                <wp:extent cx="292100" cy="1365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10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117475</wp:posOffset>
                </wp:positionH>
                <wp:positionV relativeFrom="page">
                  <wp:posOffset>9525</wp:posOffset>
                </wp:positionV>
                <wp:extent cx="7437755" cy="10683240"/>
                <wp:effectExtent l="0" t="0" r="0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7755" cy="10683240"/>
                          <a:chOff x="1627123" y="0"/>
                          <a:chExt cx="7437755" cy="756000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1627123" y="0"/>
                            <a:ext cx="7437755" cy="7560000"/>
                            <a:chOff x="185" y="15"/>
                            <a:chExt cx="11713" cy="16824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185" y="15"/>
                              <a:ext cx="11700" cy="1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B4071" w:rsidRDefault="00CB40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tangolo 5"/>
                          <wps:cNvSpPr/>
                          <wps:spPr>
                            <a:xfrm>
                              <a:off x="1104" y="15856"/>
                              <a:ext cx="6252" cy="2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B4071" w:rsidRDefault="00CB40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igura a mano libera 6"/>
                          <wps:cNvSpPr/>
                          <wps:spPr>
                            <a:xfrm>
                              <a:off x="7355" y="15"/>
                              <a:ext cx="4543" cy="16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43" h="16824" extrusionOk="0">
                                  <a:moveTo>
                                    <a:pt x="4543" y="6546"/>
                                  </a:moveTo>
                                  <a:lnTo>
                                    <a:pt x="0" y="6546"/>
                                  </a:lnTo>
                                  <a:lnTo>
                                    <a:pt x="0" y="16823"/>
                                  </a:lnTo>
                                  <a:lnTo>
                                    <a:pt x="4543" y="16823"/>
                                  </a:lnTo>
                                  <a:lnTo>
                                    <a:pt x="4543" y="6546"/>
                                  </a:lnTo>
                                  <a:close/>
                                  <a:moveTo>
                                    <a:pt x="45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90"/>
                                  </a:lnTo>
                                  <a:lnTo>
                                    <a:pt x="4543" y="3990"/>
                                  </a:lnTo>
                                  <a:lnTo>
                                    <a:pt x="45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6C0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158" y="23"/>
                              <a:ext cx="197" cy="16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337" y="6435"/>
                              <a:ext cx="9530" cy="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Rettangolo 9"/>
                          <wps:cNvSpPr/>
                          <wps:spPr>
                            <a:xfrm>
                              <a:off x="2327" y="6425"/>
                              <a:ext cx="9550" cy="338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B4071" w:rsidRDefault="00CB40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ttangolo 10"/>
                          <wps:cNvSpPr/>
                          <wps:spPr>
                            <a:xfrm>
                              <a:off x="195" y="4005"/>
                              <a:ext cx="11677" cy="255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B4071" w:rsidRDefault="00CB40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ttangolo 11"/>
                          <wps:cNvSpPr/>
                          <wps:spPr>
                            <a:xfrm>
                              <a:off x="195" y="4005"/>
                              <a:ext cx="11677" cy="2556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B4071" w:rsidRDefault="00CB40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117475</wp:posOffset>
                </wp:positionH>
                <wp:positionV relativeFrom="page">
                  <wp:posOffset>9525</wp:posOffset>
                </wp:positionV>
                <wp:extent cx="7437755" cy="106832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7755" cy="10683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B4071" w:rsidRDefault="00302836">
      <w:pPr>
        <w:spacing w:before="101"/>
        <w:ind w:left="190" w:right="109" w:hanging="80"/>
        <w:jc w:val="right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b/>
          <w:color w:val="FFFFFF"/>
          <w:sz w:val="52"/>
          <w:szCs w:val="52"/>
        </w:rPr>
        <w:t xml:space="preserve">Distretto Socio-Sanitario 13 – Gioia del Colle </w:t>
      </w:r>
      <w:r>
        <w:rPr>
          <w:rFonts w:ascii="Cambria" w:eastAsia="Cambria" w:hAnsi="Cambria" w:cs="Cambria"/>
          <w:color w:val="FFFFFF"/>
          <w:sz w:val="52"/>
          <w:szCs w:val="52"/>
        </w:rPr>
        <w:t xml:space="preserve">Centro di Sorveglianza </w:t>
      </w:r>
      <w:proofErr w:type="spellStart"/>
      <w:r>
        <w:rPr>
          <w:rFonts w:ascii="Cambria" w:eastAsia="Cambria" w:hAnsi="Cambria" w:cs="Cambria"/>
          <w:color w:val="FFFFFF"/>
          <w:sz w:val="52"/>
          <w:szCs w:val="52"/>
        </w:rPr>
        <w:t>Antitrombosi</w:t>
      </w:r>
      <w:proofErr w:type="spellEnd"/>
      <w:r>
        <w:rPr>
          <w:rFonts w:ascii="Cambria" w:eastAsia="Cambria" w:hAnsi="Cambria" w:cs="Cambria"/>
          <w:color w:val="FFFFFF"/>
          <w:sz w:val="52"/>
          <w:szCs w:val="52"/>
        </w:rPr>
        <w:t xml:space="preserve"> (C.S.A.) </w:t>
      </w:r>
      <w:r>
        <w:rPr>
          <w:rFonts w:ascii="Cambria" w:eastAsia="Cambria" w:hAnsi="Cambria" w:cs="Cambria"/>
          <w:color w:val="FFFFFF"/>
          <w:sz w:val="48"/>
          <w:szCs w:val="48"/>
        </w:rPr>
        <w:t>per pazienti in Terapia Anticoagulante Orale (TAO)</w:t>
      </w:r>
    </w:p>
    <w:p w:rsidR="00CB4071" w:rsidRDefault="00302836">
      <w:pPr>
        <w:pStyle w:val="Titolo"/>
        <w:sectPr w:rsidR="00CB4071">
          <w:pgSz w:w="11910" w:h="16840"/>
          <w:pgMar w:top="1580" w:right="220" w:bottom="280" w:left="940" w:header="720" w:footer="720" w:gutter="0"/>
          <w:pgNumType w:start="1"/>
          <w:cols w:space="720"/>
        </w:sectPr>
      </w:pPr>
      <w:r>
        <w:rPr>
          <w:color w:val="FFFFFF"/>
        </w:rPr>
        <w:t>Carta dei servizi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CB4071" w:rsidRDefault="00302836">
      <w:pPr>
        <w:spacing w:before="203"/>
        <w:ind w:left="19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Centro di Sorveglianza </w:t>
      </w:r>
      <w:proofErr w:type="spellStart"/>
      <w:r>
        <w:rPr>
          <w:b/>
          <w:sz w:val="32"/>
          <w:szCs w:val="32"/>
        </w:rPr>
        <w:t>Antitrombosi</w:t>
      </w:r>
      <w:proofErr w:type="spellEnd"/>
      <w:r>
        <w:rPr>
          <w:b/>
          <w:sz w:val="32"/>
          <w:szCs w:val="32"/>
        </w:rPr>
        <w:t xml:space="preserve"> (C.S.A.)</w:t>
      </w:r>
    </w:p>
    <w:p w:rsidR="00CB4071" w:rsidRDefault="00302836">
      <w:pPr>
        <w:spacing w:before="58" w:line="276" w:lineRule="auto"/>
        <w:ind w:left="192" w:right="3830"/>
        <w:rPr>
          <w:b/>
          <w:sz w:val="32"/>
          <w:szCs w:val="32"/>
        </w:rPr>
      </w:pPr>
      <w:r>
        <w:rPr>
          <w:b/>
          <w:sz w:val="32"/>
          <w:szCs w:val="32"/>
        </w:rPr>
        <w:t>per pazienti in Terapia Anticoagulante Orale (TAO) Gioia del Colle - Distretto Socio-Sanitario 13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:rsidR="00CB4071" w:rsidRDefault="00302836">
      <w:pPr>
        <w:tabs>
          <w:tab w:val="left" w:pos="2317"/>
        </w:tabs>
        <w:spacing w:before="218" w:line="276" w:lineRule="auto"/>
        <w:ind w:left="2317" w:right="911" w:hanging="2125"/>
        <w:rPr>
          <w:sz w:val="28"/>
          <w:szCs w:val="28"/>
        </w:rPr>
      </w:pPr>
      <w:r>
        <w:rPr>
          <w:sz w:val="28"/>
          <w:szCs w:val="28"/>
        </w:rPr>
        <w:t>Indirizzo</w:t>
      </w:r>
      <w:r>
        <w:rPr>
          <w:sz w:val="28"/>
          <w:szCs w:val="28"/>
        </w:rPr>
        <w:tab/>
        <w:t>VIA DEI FRATI FRANCESCANI RIFORMATI - EX OSPEDALE PARADISO 70023 GIOIA DEL COLLE BA</w:t>
      </w:r>
    </w:p>
    <w:p w:rsidR="00CB4071" w:rsidRDefault="00302836">
      <w:pPr>
        <w:spacing w:before="1"/>
        <w:ind w:left="2317"/>
        <w:rPr>
          <w:sz w:val="28"/>
          <w:szCs w:val="28"/>
        </w:rPr>
      </w:pPr>
      <w:r>
        <w:rPr>
          <w:sz w:val="28"/>
          <w:szCs w:val="28"/>
        </w:rPr>
        <w:t>Piano terra (nei pressi del servizio di Radiologia e Centro Prelievi)</w:t>
      </w:r>
    </w:p>
    <w:p w:rsidR="00CB4071" w:rsidRDefault="00302836">
      <w:pPr>
        <w:tabs>
          <w:tab w:val="right" w:pos="3799"/>
        </w:tabs>
        <w:spacing w:before="443"/>
        <w:ind w:left="192"/>
        <w:rPr>
          <w:b/>
          <w:sz w:val="28"/>
          <w:szCs w:val="28"/>
        </w:rPr>
      </w:pPr>
      <w:r>
        <w:rPr>
          <w:sz w:val="28"/>
          <w:szCs w:val="28"/>
        </w:rPr>
        <w:t>Telefono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080.3489251</w:t>
      </w:r>
    </w:p>
    <w:p w:rsidR="00CB4071" w:rsidRDefault="00302836">
      <w:pPr>
        <w:spacing w:before="52"/>
        <w:ind w:left="2317"/>
        <w:rPr>
          <w:b/>
          <w:sz w:val="28"/>
          <w:szCs w:val="28"/>
        </w:rPr>
      </w:pPr>
      <w:r>
        <w:rPr>
          <w:b/>
          <w:sz w:val="28"/>
          <w:szCs w:val="28"/>
        </w:rPr>
        <w:t>080.3489206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40"/>
          <w:szCs w:val="40"/>
        </w:rPr>
      </w:pPr>
    </w:p>
    <w:p w:rsidR="00CB4071" w:rsidRDefault="00302836">
      <w:pPr>
        <w:tabs>
          <w:tab w:val="left" w:pos="3025"/>
        </w:tabs>
        <w:spacing w:before="1"/>
        <w:ind w:left="192"/>
        <w:rPr>
          <w:sz w:val="28"/>
          <w:szCs w:val="28"/>
        </w:rPr>
      </w:pPr>
      <w:r>
        <w:rPr>
          <w:b/>
          <w:sz w:val="28"/>
          <w:szCs w:val="28"/>
        </w:rPr>
        <w:t>Orari di ricevimento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dal lunedì al venerdì dalle 8.00 alle 12.30</w:t>
      </w:r>
    </w:p>
    <w:p w:rsidR="00CB4071" w:rsidRDefault="00302836">
      <w:pPr>
        <w:spacing w:before="51"/>
        <w:ind w:left="3025"/>
        <w:rPr>
          <w:sz w:val="28"/>
          <w:szCs w:val="28"/>
        </w:rPr>
      </w:pPr>
      <w:r>
        <w:rPr>
          <w:sz w:val="28"/>
          <w:szCs w:val="28"/>
        </w:rPr>
        <w:t>lunedì dalle 14.30 alle 16.30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6"/>
          <w:szCs w:val="36"/>
        </w:rPr>
      </w:pPr>
    </w:p>
    <w:p w:rsidR="00CB4071" w:rsidRDefault="00302836">
      <w:pPr>
        <w:ind w:left="192"/>
        <w:rPr>
          <w:b/>
          <w:sz w:val="28"/>
          <w:szCs w:val="28"/>
        </w:rPr>
      </w:pPr>
      <w:r>
        <w:rPr>
          <w:b/>
          <w:sz w:val="28"/>
          <w:szCs w:val="28"/>
        </w:rPr>
        <w:t>STAFF</w:t>
      </w:r>
    </w:p>
    <w:p w:rsidR="00CB4071" w:rsidRDefault="00302836">
      <w:pPr>
        <w:tabs>
          <w:tab w:val="left" w:pos="3733"/>
        </w:tabs>
        <w:spacing w:before="52"/>
        <w:ind w:left="192"/>
        <w:rPr>
          <w:b/>
          <w:sz w:val="28"/>
          <w:szCs w:val="28"/>
        </w:rPr>
      </w:pPr>
      <w:r>
        <w:rPr>
          <w:sz w:val="28"/>
          <w:szCs w:val="28"/>
        </w:rPr>
        <w:t>Direttore di Distretto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Dr. Andrea GIGLIOBIANCO</w:t>
      </w:r>
    </w:p>
    <w:p w:rsidR="00CB4071" w:rsidRDefault="00CB4071">
      <w:pPr>
        <w:tabs>
          <w:tab w:val="left" w:pos="3733"/>
        </w:tabs>
        <w:spacing w:before="52"/>
        <w:ind w:left="192"/>
        <w:rPr>
          <w:b/>
          <w:sz w:val="28"/>
          <w:szCs w:val="28"/>
        </w:rPr>
      </w:pPr>
    </w:p>
    <w:p w:rsidR="00CB4071" w:rsidRDefault="00302836">
      <w:pPr>
        <w:tabs>
          <w:tab w:val="left" w:pos="3733"/>
        </w:tabs>
        <w:spacing w:before="52"/>
        <w:ind w:left="192"/>
        <w:rPr>
          <w:b/>
          <w:sz w:val="28"/>
          <w:szCs w:val="28"/>
        </w:rPr>
      </w:pPr>
      <w:r>
        <w:rPr>
          <w:sz w:val="28"/>
          <w:szCs w:val="28"/>
        </w:rPr>
        <w:t>Coordinatore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Inferm</w:t>
      </w:r>
      <w:proofErr w:type="spellEnd"/>
      <w:r>
        <w:rPr>
          <w:sz w:val="28"/>
          <w:szCs w:val="28"/>
        </w:rPr>
        <w:t xml:space="preserve">.    </w:t>
      </w:r>
      <w:r>
        <w:rPr>
          <w:b/>
          <w:sz w:val="28"/>
          <w:szCs w:val="28"/>
        </w:rPr>
        <w:t xml:space="preserve">             </w:t>
      </w:r>
      <w:r w:rsidR="00525E4A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Sig. Michele </w:t>
      </w:r>
      <w:proofErr w:type="spellStart"/>
      <w:r>
        <w:rPr>
          <w:b/>
          <w:sz w:val="28"/>
          <w:szCs w:val="28"/>
        </w:rPr>
        <w:t>Pontrandolfo</w:t>
      </w:r>
      <w:proofErr w:type="spellEnd"/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36"/>
          <w:szCs w:val="36"/>
        </w:rPr>
      </w:pPr>
    </w:p>
    <w:p w:rsidR="00CB4071" w:rsidRDefault="00302836">
      <w:pPr>
        <w:tabs>
          <w:tab w:val="left" w:pos="3733"/>
        </w:tabs>
        <w:ind w:left="192"/>
        <w:rPr>
          <w:b/>
          <w:sz w:val="28"/>
          <w:szCs w:val="28"/>
        </w:rPr>
      </w:pPr>
      <w:r>
        <w:rPr>
          <w:sz w:val="28"/>
          <w:szCs w:val="28"/>
        </w:rPr>
        <w:t>Dirigente Responsabile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Dr. Giovanni DIRIENZO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36"/>
          <w:szCs w:val="36"/>
        </w:rPr>
      </w:pPr>
    </w:p>
    <w:p w:rsidR="00CB4071" w:rsidRDefault="00302836">
      <w:pPr>
        <w:tabs>
          <w:tab w:val="left" w:pos="3733"/>
        </w:tabs>
        <w:spacing w:line="273" w:lineRule="auto"/>
        <w:ind w:left="3733" w:right="4215" w:hanging="3541"/>
        <w:rPr>
          <w:sz w:val="28"/>
          <w:szCs w:val="28"/>
        </w:rPr>
      </w:pPr>
      <w:r>
        <w:rPr>
          <w:sz w:val="28"/>
          <w:szCs w:val="28"/>
        </w:rPr>
        <w:t>Referenti Medici</w:t>
      </w:r>
      <w:r>
        <w:rPr>
          <w:sz w:val="28"/>
          <w:szCs w:val="28"/>
        </w:rPr>
        <w:tab/>
        <w:t>Dr.ssa Rosa BASILE Dr.ssa Vincenza PINTO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32"/>
          <w:szCs w:val="32"/>
        </w:rPr>
      </w:pPr>
    </w:p>
    <w:p w:rsidR="00CB4071" w:rsidRDefault="00302836">
      <w:pPr>
        <w:tabs>
          <w:tab w:val="left" w:pos="3733"/>
        </w:tabs>
        <w:ind w:left="192"/>
        <w:rPr>
          <w:sz w:val="28"/>
          <w:szCs w:val="28"/>
        </w:rPr>
      </w:pPr>
      <w:r>
        <w:rPr>
          <w:sz w:val="28"/>
          <w:szCs w:val="28"/>
        </w:rPr>
        <w:t>Referenti di Laboratorio</w:t>
      </w:r>
      <w:r>
        <w:rPr>
          <w:sz w:val="28"/>
          <w:szCs w:val="28"/>
        </w:rPr>
        <w:tab/>
        <w:t>Sig.ra Angela RIZZI</w:t>
      </w:r>
    </w:p>
    <w:p w:rsidR="00CB4071" w:rsidRDefault="00302836">
      <w:pPr>
        <w:spacing w:before="52"/>
        <w:ind w:left="3725" w:right="3858"/>
        <w:jc w:val="center"/>
        <w:rPr>
          <w:sz w:val="28"/>
          <w:szCs w:val="28"/>
        </w:rPr>
        <w:sectPr w:rsidR="00CB4071">
          <w:footerReference w:type="default" r:id="rId11"/>
          <w:pgSz w:w="11910" w:h="16840"/>
          <w:pgMar w:top="1580" w:right="220" w:bottom="1140" w:left="940" w:header="0" w:footer="947" w:gutter="0"/>
          <w:pgNumType w:start="2"/>
          <w:cols w:space="720"/>
        </w:sectPr>
      </w:pPr>
      <w:r>
        <w:rPr>
          <w:sz w:val="28"/>
          <w:szCs w:val="28"/>
        </w:rPr>
        <w:t>Sig.ra Florinda SCIACOVELLI</w:t>
      </w:r>
    </w:p>
    <w:p w:rsidR="00CB4071" w:rsidRDefault="00302836">
      <w:pPr>
        <w:spacing w:before="183"/>
        <w:ind w:left="192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Sommario</w:t>
      </w:r>
    </w:p>
    <w:sdt>
      <w:sdtPr>
        <w:id w:val="-847717122"/>
        <w:docPartObj>
          <w:docPartGallery w:val="Table of Contents"/>
          <w:docPartUnique/>
        </w:docPartObj>
      </w:sdtPr>
      <w:sdtEndPr/>
      <w:sdtContent>
        <w:p w:rsidR="00CB4071" w:rsidRDefault="003028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before="50"/>
            <w:ind w:left="414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jdgxs">
            <w:r>
              <w:rPr>
                <w:color w:val="000000"/>
              </w:rPr>
              <w:t>Premessa</w:t>
            </w:r>
            <w:r>
              <w:rPr>
                <w:color w:val="000000"/>
              </w:rPr>
              <w:tab/>
              <w:t>3</w:t>
            </w:r>
          </w:hyperlink>
        </w:p>
        <w:p w:rsidR="00CB4071" w:rsidRDefault="003028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before="139"/>
            <w:ind w:left="414"/>
            <w:rPr>
              <w:color w:val="000000"/>
            </w:rPr>
          </w:pPr>
          <w:hyperlink w:anchor="_30j0zll">
            <w:r>
              <w:rPr>
                <w:color w:val="000000"/>
              </w:rPr>
              <w:t>Attività del Centro di Sorveglianza Antitrombosi (C.S.A.)</w:t>
            </w:r>
            <w:r>
              <w:rPr>
                <w:color w:val="000000"/>
              </w:rPr>
              <w:tab/>
              <w:t>4</w:t>
            </w:r>
          </w:hyperlink>
        </w:p>
        <w:p w:rsidR="00CB4071" w:rsidRDefault="003028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268"/>
            </w:tabs>
            <w:spacing w:before="140"/>
            <w:ind w:left="632"/>
            <w:rPr>
              <w:color w:val="000000"/>
            </w:rPr>
          </w:pPr>
          <w:hyperlink w:anchor="_1fob9te">
            <w:r>
              <w:rPr>
                <w:color w:val="000000"/>
              </w:rPr>
              <w:t>Procedura di accesso</w:t>
            </w:r>
          </w:hyperlink>
          <w:hyperlink w:anchor="_1fob9te"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_1fob9te \h </w:instrText>
          </w:r>
          <w:r>
            <w:fldChar w:fldCharType="separate"/>
          </w:r>
          <w:r>
            <w:rPr>
              <w:color w:val="000000"/>
            </w:rPr>
            <w:t>4</w:t>
          </w:r>
          <w:r>
            <w:fldChar w:fldCharType="end"/>
          </w:r>
        </w:p>
        <w:p w:rsidR="00CB4071" w:rsidRDefault="003028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268"/>
            </w:tabs>
            <w:spacing w:before="142"/>
            <w:ind w:left="632"/>
            <w:rPr>
              <w:color w:val="000000"/>
            </w:rPr>
          </w:pPr>
          <w:hyperlink w:anchor="_3znysh7">
            <w:r>
              <w:rPr>
                <w:color w:val="000000"/>
              </w:rPr>
              <w:t>Accesso dei pazienti monitorati dal Centro</w:t>
            </w:r>
          </w:hyperlink>
          <w:hyperlink w:anchor="_3znysh7"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_3znysh7 \h </w:instrText>
          </w:r>
          <w:r>
            <w:fldChar w:fldCharType="separate"/>
          </w:r>
          <w:r>
            <w:rPr>
              <w:color w:val="000000"/>
            </w:rPr>
            <w:t>5</w:t>
          </w:r>
          <w:r>
            <w:fldChar w:fldCharType="end"/>
          </w:r>
        </w:p>
        <w:p w:rsidR="00CB4071" w:rsidRDefault="003028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268"/>
            </w:tabs>
            <w:spacing w:before="139"/>
            <w:ind w:left="632"/>
            <w:rPr>
              <w:color w:val="000000"/>
            </w:rPr>
          </w:pPr>
          <w:hyperlink w:anchor="_tyjcwt">
            <w:r>
              <w:rPr>
                <w:color w:val="000000"/>
              </w:rPr>
              <w:t>Accesso dei nuovi pazienti da monitorare presso il Centro</w:t>
            </w:r>
          </w:hyperlink>
          <w:hyperlink w:anchor="_tyjcwt"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_tyjcwt \h </w:instrText>
          </w:r>
          <w:r>
            <w:fldChar w:fldCharType="separate"/>
          </w:r>
          <w:r>
            <w:rPr>
              <w:color w:val="000000"/>
            </w:rPr>
            <w:t>6</w:t>
          </w:r>
          <w:r>
            <w:fldChar w:fldCharType="end"/>
          </w:r>
        </w:p>
        <w:p w:rsidR="00CB4071" w:rsidRDefault="00302836">
          <w:pPr>
            <w:rPr>
              <w:sz w:val="24"/>
              <w:szCs w:val="24"/>
            </w:rPr>
          </w:pPr>
          <w:r>
            <w:fldChar w:fldCharType="end"/>
          </w:r>
        </w:p>
      </w:sdtContent>
    </w:sdt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B4071" w:rsidRDefault="00302836">
      <w:pPr>
        <w:pStyle w:val="Titolo1"/>
        <w:ind w:firstLine="192"/>
      </w:pPr>
      <w:bookmarkStart w:id="1" w:name="_gjdgxs" w:colFirst="0" w:colLast="0"/>
      <w:bookmarkEnd w:id="1"/>
      <w:r>
        <w:rPr>
          <w:color w:val="F79546"/>
        </w:rPr>
        <w:t>Premessa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47" w:line="360" w:lineRule="auto"/>
        <w:ind w:left="192" w:right="909"/>
        <w:jc w:val="both"/>
        <w:rPr>
          <w:color w:val="000000"/>
        </w:rPr>
      </w:pPr>
      <w:r>
        <w:rPr>
          <w:color w:val="000000"/>
        </w:rPr>
        <w:t>Il trattamento anticoagulante (TAO) ha un ruolo rilevante nella prevenzione e cura delle malattie tromboemboliche e delle patologie vascolari. La somministrazione di farmaci anticoagulanti può comportare il rischio di eventi avversi correlati ad una inadeg</w:t>
      </w:r>
      <w:r>
        <w:rPr>
          <w:color w:val="000000"/>
        </w:rPr>
        <w:t>uata gestione della terapia.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 w:right="913"/>
        <w:jc w:val="both"/>
        <w:rPr>
          <w:color w:val="000000"/>
        </w:rPr>
      </w:pPr>
      <w:r>
        <w:rPr>
          <w:color w:val="000000"/>
        </w:rPr>
        <w:t>I farmaci anticoagulanti attualmente utilizzati possono essere somministrati per via iniettiva/sottocutanea o per via orale e si distinguono in:</w:t>
      </w:r>
    </w:p>
    <w:p w:rsidR="00CB4071" w:rsidRDefault="003028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6"/>
        </w:tabs>
        <w:spacing w:line="360" w:lineRule="auto"/>
        <w:ind w:right="909" w:firstLine="0"/>
      </w:pPr>
      <w:r>
        <w:rPr>
          <w:color w:val="000000"/>
        </w:rPr>
        <w:t xml:space="preserve">Anticoagulanti orali di tipo </w:t>
      </w:r>
      <w:proofErr w:type="spellStart"/>
      <w:r>
        <w:rPr>
          <w:color w:val="000000"/>
        </w:rPr>
        <w:t>cumarinico</w:t>
      </w:r>
      <w:proofErr w:type="spellEnd"/>
      <w:r>
        <w:rPr>
          <w:color w:val="000000"/>
        </w:rPr>
        <w:t xml:space="preserve"> o inibitori della vitamina K (AVK): inibis</w:t>
      </w:r>
      <w:r>
        <w:rPr>
          <w:color w:val="000000"/>
        </w:rPr>
        <w:t>cono i fattori della coagulazione vitamina K dipendenti e si somministrano per via orale;</w:t>
      </w:r>
    </w:p>
    <w:p w:rsidR="00CB4071" w:rsidRDefault="003028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spacing w:before="1" w:line="360" w:lineRule="auto"/>
        <w:ind w:right="907" w:firstLine="0"/>
      </w:pPr>
      <w:r>
        <w:rPr>
          <w:color w:val="000000"/>
        </w:rPr>
        <w:t xml:space="preserve">Anticoagulanti eparinici e inibitore sintetico del fattore </w:t>
      </w:r>
      <w:proofErr w:type="spellStart"/>
      <w:r>
        <w:rPr>
          <w:color w:val="000000"/>
        </w:rPr>
        <w:t>Xa</w:t>
      </w:r>
      <w:proofErr w:type="spellEnd"/>
      <w:r>
        <w:rPr>
          <w:color w:val="000000"/>
        </w:rPr>
        <w:t xml:space="preserve">: eparine e </w:t>
      </w:r>
      <w:proofErr w:type="spellStart"/>
      <w:r>
        <w:rPr>
          <w:color w:val="000000"/>
        </w:rPr>
        <w:t>fondaparinux</w:t>
      </w:r>
      <w:proofErr w:type="spellEnd"/>
      <w:r>
        <w:rPr>
          <w:color w:val="000000"/>
        </w:rPr>
        <w:t xml:space="preserve"> si somministrano in vena o per via sottocutanea. Da alcuni anni sono disponibili anche anticoagulanti orali definiti “inibitori diretti della coagulazione” (DOAC), poiché</w:t>
      </w:r>
      <w:r>
        <w:rPr>
          <w:color w:val="000000"/>
        </w:rPr>
        <w:t xml:space="preserve"> inibiscono in modo selettivo un singolo fattore della coagulazione. Questi sono distinti in: Inibitori del fattore </w:t>
      </w:r>
      <w:proofErr w:type="spellStart"/>
      <w:r>
        <w:rPr>
          <w:color w:val="000000"/>
        </w:rPr>
        <w:t>Xa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Dabigatran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Pradaxa</w:t>
      </w:r>
      <w:proofErr w:type="spellEnd"/>
      <w:r>
        <w:rPr>
          <w:color w:val="000000"/>
        </w:rPr>
        <w:t xml:space="preserve">) e Inibitori del fattore </w:t>
      </w:r>
      <w:proofErr w:type="spellStart"/>
      <w:r>
        <w:rPr>
          <w:color w:val="000000"/>
        </w:rPr>
        <w:t>IIa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Rivaroxaban</w:t>
      </w:r>
      <w:proofErr w:type="spellEnd"/>
      <w:r>
        <w:rPr>
          <w:color w:val="000000"/>
        </w:rPr>
        <w:t xml:space="preserve"> -</w:t>
      </w:r>
      <w:proofErr w:type="spellStart"/>
      <w:r>
        <w:rPr>
          <w:color w:val="000000"/>
        </w:rPr>
        <w:t>Xarelto</w:t>
      </w:r>
      <w:proofErr w:type="spellEnd"/>
      <w:r>
        <w:rPr>
          <w:color w:val="000000"/>
        </w:rPr>
        <w:t xml:space="preserve">, </w:t>
      </w:r>
      <w:hyperlink r:id="rId12">
        <w:proofErr w:type="spellStart"/>
        <w:r>
          <w:rPr>
            <w:color w:val="000000"/>
          </w:rPr>
          <w:t>Apixaban</w:t>
        </w:r>
        <w:proofErr w:type="spellEnd"/>
        <w:r>
          <w:rPr>
            <w:color w:val="000000"/>
          </w:rPr>
          <w:t xml:space="preserve"> </w:t>
        </w:r>
      </w:hyperlink>
      <w:r>
        <w:rPr>
          <w:color w:val="000000"/>
        </w:rPr>
        <w:t xml:space="preserve">- </w:t>
      </w:r>
      <w:proofErr w:type="spellStart"/>
      <w:r>
        <w:rPr>
          <w:color w:val="000000"/>
        </w:rPr>
        <w:t>Eliquis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Edoxaban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Lixiana</w:t>
      </w:r>
      <w:proofErr w:type="spellEnd"/>
      <w:r>
        <w:rPr>
          <w:color w:val="000000"/>
        </w:rPr>
        <w:t>).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34" w:line="360" w:lineRule="auto"/>
        <w:ind w:left="192" w:right="908"/>
        <w:jc w:val="both"/>
        <w:rPr>
          <w:color w:val="000000"/>
        </w:rPr>
      </w:pPr>
      <w:r>
        <w:rPr>
          <w:color w:val="000000"/>
        </w:rPr>
        <w:t>La sorveglianza clinica della TAO rappresenta una problematica di grande rilevanza sanitaria (per le possibili complicanze di un’inappropriata gestione della terapia), sociale (il paziente è prevalentemente anziano</w:t>
      </w:r>
      <w:r>
        <w:rPr>
          <w:color w:val="000000"/>
        </w:rPr>
        <w:t xml:space="preserve"> e disagiato) ed economica (costi diretti e indiretti del monitoraggio, costi dovuti alle complicanze). La mancanza di percorsi strutturati e di omogeneità di comportamento nella presa in carico può generare situazioni di ridotta sicurezza per i pazienti e</w:t>
      </w:r>
      <w:r>
        <w:rPr>
          <w:color w:val="000000"/>
        </w:rPr>
        <w:t xml:space="preserve"> inefficienze gestionali con aumenti di costi sanitari e sociali.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 w:right="908"/>
        <w:jc w:val="both"/>
        <w:rPr>
          <w:color w:val="000000"/>
        </w:rPr>
      </w:pPr>
      <w:r>
        <w:rPr>
          <w:color w:val="000000"/>
        </w:rPr>
        <w:t xml:space="preserve">La TAO è una terapia salvavita alla quale viene sottoposto un numero sempre maggiore di pazienti. 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 w:right="908"/>
        <w:jc w:val="both"/>
        <w:rPr>
          <w:color w:val="000000"/>
        </w:rPr>
      </w:pPr>
      <w:r>
        <w:rPr>
          <w:color w:val="000000"/>
        </w:rPr>
        <w:t xml:space="preserve">Le ultime stime considerano che in Italia il numero dei pazienti trattati sia pari al 2% della popolazione. 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 w:right="908"/>
        <w:jc w:val="both"/>
        <w:rPr>
          <w:color w:val="000000"/>
        </w:rPr>
        <w:sectPr w:rsidR="00CB4071">
          <w:pgSz w:w="11910" w:h="16840"/>
          <w:pgMar w:top="1580" w:right="220" w:bottom="1140" w:left="940" w:header="0" w:footer="947" w:gutter="0"/>
          <w:cols w:space="720"/>
        </w:sectPr>
      </w:pPr>
      <w:r>
        <w:rPr>
          <w:color w:val="000000"/>
        </w:rPr>
        <w:t>A livello regionale la popolazione pugliese in trattamento Tao potrebbe riguardare circa 81.000 cittadini.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37" w:line="360" w:lineRule="auto"/>
        <w:ind w:left="192" w:right="906"/>
        <w:jc w:val="both"/>
        <w:rPr>
          <w:color w:val="000000"/>
        </w:rPr>
      </w:pPr>
      <w:r>
        <w:rPr>
          <w:color w:val="000000"/>
        </w:rPr>
        <w:lastRenderedPageBreak/>
        <w:t>La Terapia Anticoagulan</w:t>
      </w:r>
      <w:r>
        <w:rPr>
          <w:color w:val="000000"/>
        </w:rPr>
        <w:t xml:space="preserve">te Orale (TAO) ha la finalità di ridurre la coagulabilità del sangue e prevenire il rischio di </w:t>
      </w:r>
      <w:proofErr w:type="spellStart"/>
      <w:r>
        <w:rPr>
          <w:color w:val="000000"/>
        </w:rPr>
        <w:t>tromboembolia</w:t>
      </w:r>
      <w:proofErr w:type="spellEnd"/>
      <w:r>
        <w:rPr>
          <w:color w:val="000000"/>
        </w:rPr>
        <w:t xml:space="preserve"> legato a numerosi fattori (Fibrillazione Atriale; Tromboembolismo Venoso; Protesi Valvolari Cardiache; Tromboembolismo arterioso, Trombosi cardiaca</w:t>
      </w:r>
      <w:r>
        <w:rPr>
          <w:color w:val="000000"/>
        </w:rPr>
        <w:t xml:space="preserve"> endocavitaria, Infarto miocardico acuto, Malattie valvolari cardiache, Cardiomiopatia dilatativa, Prevenzione dell’ictus, </w:t>
      </w:r>
      <w:proofErr w:type="spellStart"/>
      <w:r>
        <w:rPr>
          <w:color w:val="000000"/>
        </w:rPr>
        <w:t>Ateropatie</w:t>
      </w:r>
      <w:proofErr w:type="spellEnd"/>
      <w:r>
        <w:rPr>
          <w:color w:val="000000"/>
        </w:rPr>
        <w:t xml:space="preserve"> periferiche). I farmaci deputati a questa funzione sono gli anticoagulanti orali che non possono essere somministrati a do</w:t>
      </w:r>
      <w:r>
        <w:rPr>
          <w:color w:val="000000"/>
        </w:rPr>
        <w:t xml:space="preserve">si fisse. Per ogni paziente, infatti, è necessario definire una dose personalizzata e variabile per raggiungere e mantenere il livello di </w:t>
      </w:r>
      <w:proofErr w:type="spellStart"/>
      <w:r>
        <w:rPr>
          <w:color w:val="000000"/>
        </w:rPr>
        <w:t>scoagulazione</w:t>
      </w:r>
      <w:proofErr w:type="spellEnd"/>
      <w:r>
        <w:rPr>
          <w:color w:val="000000"/>
        </w:rPr>
        <w:t xml:space="preserve"> adeguato. 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37" w:line="360" w:lineRule="auto"/>
        <w:ind w:left="192" w:right="906"/>
        <w:jc w:val="both"/>
        <w:rPr>
          <w:color w:val="000000"/>
        </w:rPr>
      </w:pPr>
      <w:r>
        <w:rPr>
          <w:color w:val="000000"/>
        </w:rPr>
        <w:t xml:space="preserve">L’efficacia della terapia viene monitorata attraverso il dosaggio dell’INR (International </w:t>
      </w:r>
      <w:proofErr w:type="spellStart"/>
      <w:r>
        <w:rPr>
          <w:color w:val="000000"/>
        </w:rPr>
        <w:t>Nor</w:t>
      </w:r>
      <w:r>
        <w:rPr>
          <w:color w:val="000000"/>
        </w:rPr>
        <w:t>malized</w:t>
      </w:r>
      <w:proofErr w:type="spellEnd"/>
      <w:r>
        <w:rPr>
          <w:color w:val="000000"/>
        </w:rPr>
        <w:t xml:space="preserve"> Ratio) che consente di desumere clinicamente indicazioni sui tempi necessari per la coagulazione del paziente e il tempo di coagulazione di un plasma di controllo.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2"/>
        <w:ind w:left="192"/>
        <w:jc w:val="both"/>
        <w:rPr>
          <w:color w:val="000000"/>
        </w:rPr>
      </w:pPr>
      <w:r>
        <w:rPr>
          <w:color w:val="000000"/>
        </w:rPr>
        <w:t>La gestione dei pazienti avviene mediante la telemedicina al fine di ridurre i tempi</w:t>
      </w:r>
      <w:r>
        <w:rPr>
          <w:color w:val="000000"/>
        </w:rPr>
        <w:t xml:space="preserve"> entro i quali il piano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34"/>
        <w:ind w:left="192"/>
        <w:jc w:val="both"/>
        <w:rPr>
          <w:color w:val="000000"/>
        </w:rPr>
      </w:pPr>
      <w:r>
        <w:rPr>
          <w:color w:val="000000"/>
        </w:rPr>
        <w:t>terapeutico personalizzato viene inviato a casa per l’assunzione del farmaco anticoagulante prescritto.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 w:right="908"/>
        <w:jc w:val="both"/>
        <w:rPr>
          <w:color w:val="000000"/>
        </w:rPr>
      </w:pPr>
      <w:r>
        <w:rPr>
          <w:color w:val="000000"/>
        </w:rPr>
        <w:t xml:space="preserve">Con la Delibera n° 298 del 10/03/2020 la Giunta della Regione Puglia ha stabilito che il Distretto Socio- Sanitario di Gioia del Colle assolve alla funzione di Centro di Sorveglianza </w:t>
      </w:r>
      <w:proofErr w:type="spellStart"/>
      <w:r>
        <w:rPr>
          <w:color w:val="000000"/>
        </w:rPr>
        <w:t>Antitrombosi</w:t>
      </w:r>
      <w:proofErr w:type="spellEnd"/>
      <w:r>
        <w:rPr>
          <w:color w:val="000000"/>
        </w:rPr>
        <w:t xml:space="preserve"> (C.S.A. con codice Edotto 970455) e rientra nella rete di Am</w:t>
      </w:r>
      <w:r>
        <w:rPr>
          <w:color w:val="000000"/>
        </w:rPr>
        <w:t>bulatori istituita per il miglioramento della qualità e sicurezza dei pazienti e per l’implementazione dei percorsi diagnostico-terapeutici.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 w:right="908"/>
        <w:jc w:val="both"/>
        <w:rPr>
          <w:color w:val="000000"/>
        </w:rPr>
      </w:pPr>
      <w:r>
        <w:rPr>
          <w:color w:val="000000"/>
        </w:rPr>
        <w:t>Con la redazione della Carta dei Servizi si recepisce l’impegno di razionalizzare, ridurre e semplificare le proced</w:t>
      </w:r>
      <w:r>
        <w:rPr>
          <w:color w:val="000000"/>
        </w:rPr>
        <w:t>ure di accesso al servizio delineando il percorso clinico assistenziale per la cura del paziente TAO, in modo da garantire la qualità, l’appropriatezza, l’equità, l’efficacia e l’efficienza delle prestazioni erogate.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 w:right="908"/>
        <w:jc w:val="both"/>
        <w:rPr>
          <w:color w:val="000000"/>
        </w:rPr>
      </w:pPr>
      <w:r>
        <w:rPr>
          <w:color w:val="000000"/>
        </w:rPr>
        <w:t>La carta descrive un modello che mira a</w:t>
      </w:r>
      <w:r>
        <w:rPr>
          <w:color w:val="000000"/>
        </w:rPr>
        <w:t xml:space="preserve"> migliorare il servizio di assistenza attraverso l’individuazione di ruoli, funzioni e compiti del personale coinvolto e la definizione di procedure di corretta presa in carico e gestione dei pazienti.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:rsidR="00CB4071" w:rsidRDefault="00302836">
      <w:pPr>
        <w:pStyle w:val="Titolo1"/>
        <w:ind w:firstLine="192"/>
        <w:jc w:val="both"/>
      </w:pPr>
      <w:bookmarkStart w:id="2" w:name="_30j0zll" w:colFirst="0" w:colLast="0"/>
      <w:bookmarkEnd w:id="2"/>
      <w:r>
        <w:rPr>
          <w:color w:val="F79546"/>
        </w:rPr>
        <w:t xml:space="preserve">Attività del Centro di Sorveglianza </w:t>
      </w:r>
      <w:proofErr w:type="spellStart"/>
      <w:r>
        <w:rPr>
          <w:color w:val="F79546"/>
        </w:rPr>
        <w:t>Antitrombosi</w:t>
      </w:r>
      <w:proofErr w:type="spellEnd"/>
      <w:r>
        <w:rPr>
          <w:color w:val="F79546"/>
        </w:rPr>
        <w:t xml:space="preserve"> (C.S.A.)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color w:val="000000"/>
          <w:sz w:val="30"/>
          <w:szCs w:val="30"/>
        </w:rPr>
      </w:pP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 w:right="910"/>
        <w:jc w:val="both"/>
        <w:rPr>
          <w:color w:val="000000"/>
        </w:rPr>
      </w:pPr>
      <w:r>
        <w:rPr>
          <w:color w:val="000000"/>
        </w:rPr>
        <w:t xml:space="preserve">Il C.S.A. di Gioia del Colle è affiliato al Centro </w:t>
      </w:r>
      <w:proofErr w:type="spellStart"/>
      <w:r>
        <w:rPr>
          <w:color w:val="000000"/>
        </w:rPr>
        <w:t>Antitrombosi</w:t>
      </w:r>
      <w:proofErr w:type="spellEnd"/>
      <w:r>
        <w:rPr>
          <w:color w:val="000000"/>
        </w:rPr>
        <w:t xml:space="preserve"> (C.A.T.) dell’Ospedale Perinei di Altamura che aderisce alla Federazione dei Centri per la Diagnosi della Trombosi e la Sorveglianza </w:t>
      </w:r>
      <w:r>
        <w:rPr>
          <w:color w:val="000000"/>
        </w:rPr>
        <w:t>delle Terapie Antitrombotiche (FCSA) con numero 494.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4071" w:rsidRDefault="00302836">
      <w:pPr>
        <w:pStyle w:val="Titolo2"/>
        <w:ind w:firstLine="192"/>
      </w:pPr>
      <w:bookmarkStart w:id="3" w:name="_1fob9te" w:colFirst="0" w:colLast="0"/>
      <w:bookmarkEnd w:id="3"/>
      <w:r>
        <w:t>Procedura di accesso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92" w:right="908"/>
        <w:jc w:val="both"/>
        <w:rPr>
          <w:color w:val="000000"/>
        </w:rPr>
        <w:sectPr w:rsidR="00CB4071">
          <w:pgSz w:w="11910" w:h="16840"/>
          <w:pgMar w:top="1360" w:right="220" w:bottom="1140" w:left="940" w:header="0" w:footer="947" w:gutter="0"/>
          <w:cols w:space="720"/>
        </w:sectPr>
      </w:pPr>
      <w:r>
        <w:rPr>
          <w:color w:val="000000"/>
        </w:rPr>
        <w:t>Accedono al C.S.A. i pazienti dopo una visita preliminare che prevede la compilazione di una cartella elettronica a cura del Centro Trombosi (C.A.T.) dell’Ospedale Perinei di Altamura. Per i pazienti di Gioia del Colle e dei paesi appartenenti al Distretto</w:t>
      </w:r>
      <w:r>
        <w:rPr>
          <w:color w:val="000000"/>
        </w:rPr>
        <w:t xml:space="preserve"> 13 la visita di primo accesso è effettuata presso il Centro di Gioia.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37"/>
        <w:ind w:left="192"/>
        <w:jc w:val="both"/>
        <w:rPr>
          <w:color w:val="000000"/>
        </w:rPr>
      </w:pPr>
      <w:r>
        <w:rPr>
          <w:color w:val="000000"/>
        </w:rPr>
        <w:lastRenderedPageBreak/>
        <w:t>Per i pazienti in carico presso il Centro si procede con il prelievo e l’esecuzione del test PT/INR.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35" w:line="360" w:lineRule="auto"/>
        <w:ind w:left="192" w:right="909"/>
        <w:jc w:val="both"/>
        <w:rPr>
          <w:strike/>
          <w:color w:val="FF0000"/>
        </w:rPr>
      </w:pPr>
      <w:r>
        <w:rPr>
          <w:color w:val="000000"/>
        </w:rPr>
        <w:t>A distanza di poche ore, dopo la validazione della Terapia da parte del medico, il referto con il relativo schema posologico del farmaco assunto è reso disponibile al paziente attraverso una duplice modalità: inviato ad indirizzo mail del paziente attraver</w:t>
      </w:r>
      <w:r>
        <w:rPr>
          <w:color w:val="000000"/>
        </w:rPr>
        <w:t xml:space="preserve">so </w:t>
      </w:r>
      <w:proofErr w:type="spellStart"/>
      <w:r>
        <w:rPr>
          <w:color w:val="000000"/>
        </w:rPr>
        <w:t>homeTAO</w:t>
      </w:r>
      <w:proofErr w:type="spellEnd"/>
      <w:r>
        <w:rPr>
          <w:color w:val="000000"/>
        </w:rPr>
        <w:t xml:space="preserve"> o ritirato direttamente presso il Centro. La gestione dei pazienti avviene telematicamente attraverso il Software PARMA GTS -WERFEN.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" w:line="357" w:lineRule="auto"/>
        <w:ind w:left="192" w:right="909"/>
        <w:jc w:val="both"/>
        <w:rPr>
          <w:color w:val="000000"/>
        </w:rPr>
      </w:pPr>
      <w:r>
        <w:rPr>
          <w:color w:val="000000"/>
        </w:rPr>
        <w:t xml:space="preserve">Il servizio </w:t>
      </w:r>
      <w:proofErr w:type="spellStart"/>
      <w:r>
        <w:rPr>
          <w:color w:val="000000"/>
        </w:rPr>
        <w:t>homeTAO</w:t>
      </w:r>
      <w:proofErr w:type="spellEnd"/>
      <w:r>
        <w:rPr>
          <w:color w:val="000000"/>
        </w:rPr>
        <w:t xml:space="preserve"> prevede l’accesso ad una pagina web personale gestita direttamente dal paziente mediante cod</w:t>
      </w:r>
      <w:r>
        <w:rPr>
          <w:color w:val="000000"/>
        </w:rPr>
        <w:t>ice utente e password.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38"/>
        <w:ind w:left="192"/>
        <w:jc w:val="both"/>
        <w:rPr>
          <w:color w:val="000000"/>
        </w:rPr>
      </w:pPr>
      <w:r>
        <w:rPr>
          <w:color w:val="000000"/>
        </w:rPr>
        <w:t>Prestazioni eseguite:</w:t>
      </w:r>
    </w:p>
    <w:p w:rsidR="00CB4071" w:rsidRDefault="00302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before="136"/>
        <w:ind w:hanging="118"/>
        <w:jc w:val="both"/>
      </w:pPr>
      <w:r>
        <w:rPr>
          <w:color w:val="000000"/>
        </w:rPr>
        <w:t>prelievo ematico per esami della coagulazione;</w:t>
      </w:r>
    </w:p>
    <w:p w:rsidR="00CB4071" w:rsidRDefault="00302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before="134"/>
        <w:ind w:hanging="118"/>
        <w:jc w:val="both"/>
      </w:pPr>
      <w:r>
        <w:rPr>
          <w:color w:val="000000"/>
        </w:rPr>
        <w:t xml:space="preserve">prescrizione </w:t>
      </w:r>
      <w:r>
        <w:t>dello schema terapeutico</w:t>
      </w:r>
      <w:r>
        <w:rPr>
          <w:color w:val="FF0000"/>
        </w:rPr>
        <w:t xml:space="preserve"> </w:t>
      </w:r>
      <w:r>
        <w:rPr>
          <w:color w:val="000000"/>
        </w:rPr>
        <w:t>da seguire sulla base del risultato (INR) ottenuto;</w:t>
      </w:r>
    </w:p>
    <w:p w:rsidR="00CB4071" w:rsidRDefault="00302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before="135"/>
        <w:ind w:hanging="118"/>
      </w:pPr>
      <w:r>
        <w:rPr>
          <w:color w:val="000000"/>
        </w:rPr>
        <w:t>definizione della data dell’ulteriore controllo.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92" w:right="909"/>
        <w:jc w:val="both"/>
        <w:rPr>
          <w:color w:val="000000"/>
        </w:rPr>
      </w:pPr>
      <w:r>
        <w:rPr>
          <w:color w:val="000000"/>
        </w:rPr>
        <w:t>Il C.S.A. prende in carico anche i pazienti che assumono i nuovi anticoagulanti orali DOAC che non necessitano di controlli frequenti.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CB4071" w:rsidRDefault="00302836">
      <w:pPr>
        <w:pStyle w:val="Titolo2"/>
        <w:ind w:firstLine="192"/>
      </w:pPr>
      <w:bookmarkStart w:id="4" w:name="_3znysh7" w:colFirst="0" w:colLast="0"/>
      <w:bookmarkEnd w:id="4"/>
      <w:r>
        <w:t>Accesso dei pazienti monitorati dal Centro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/>
      </w:pPr>
      <w:r>
        <w:t>I pazienti accedono senza prenotazione al Centro dove eseguono</w:t>
      </w:r>
      <w:r>
        <w:rPr>
          <w:strike/>
        </w:rPr>
        <w:t xml:space="preserve"> </w:t>
      </w:r>
      <w:r>
        <w:t>il dosaggio dell’INR o degli esami connessi alle terapie anticoagulanti o ad altre patologie.  Il paziente si interfaccia direttamente con il personale dedicato al C.S.A. che effettua un raccordo anamnestico.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192"/>
        <w:rPr>
          <w:color w:val="000000"/>
        </w:rPr>
      </w:pPr>
      <w:r>
        <w:rPr>
          <w:color w:val="000000"/>
        </w:rPr>
        <w:t>Alla consegna del piano terapeutico con il dosa</w:t>
      </w:r>
      <w:r>
        <w:rPr>
          <w:color w:val="000000"/>
        </w:rPr>
        <w:t>ggio giornaliero del farmaco il paziente riceve la data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34"/>
        <w:ind w:left="192"/>
        <w:jc w:val="both"/>
        <w:rPr>
          <w:color w:val="000000"/>
        </w:rPr>
      </w:pPr>
      <w:r>
        <w:rPr>
          <w:color w:val="000000"/>
        </w:rPr>
        <w:t>dell’appuntamento per il successivo controllo.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35" w:line="360" w:lineRule="auto"/>
        <w:ind w:left="192" w:right="909"/>
        <w:jc w:val="both"/>
        <w:rPr>
          <w:color w:val="000000"/>
        </w:rPr>
      </w:pPr>
      <w:r>
        <w:rPr>
          <w:color w:val="000000"/>
        </w:rPr>
        <w:t xml:space="preserve">Nel caso si verifichino complicanze prima della data di appuntamento il paziente o il suo </w:t>
      </w:r>
      <w:proofErr w:type="spellStart"/>
      <w:r>
        <w:rPr>
          <w:color w:val="000000"/>
        </w:rPr>
        <w:t>caregiver</w:t>
      </w:r>
      <w:proofErr w:type="spellEnd"/>
      <w:r>
        <w:rPr>
          <w:color w:val="000000"/>
        </w:rPr>
        <w:t xml:space="preserve"> possono contattare il personale recandosi personalmente presso il C.S.A. o chiamando i numeri riportati nella pagina in</w:t>
      </w:r>
      <w:r>
        <w:t>i</w:t>
      </w:r>
      <w:r>
        <w:rPr>
          <w:color w:val="000000"/>
        </w:rPr>
        <w:t>ziale del presente documento.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36" w:line="357" w:lineRule="auto"/>
        <w:ind w:left="192" w:right="711"/>
        <w:rPr>
          <w:color w:val="000000"/>
        </w:rPr>
      </w:pPr>
      <w:r>
        <w:rPr>
          <w:color w:val="000000"/>
        </w:rPr>
        <w:t>Il Dirigente Responsabile effettua periodiche visite e consulenze presso il C.S.A. di Gioia del Colle per i pazienti già in carico o di nuovo accesso.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92" w:right="711"/>
        <w:rPr>
          <w:strike/>
        </w:rPr>
      </w:pPr>
      <w:r>
        <w:rPr>
          <w:color w:val="000000"/>
        </w:rPr>
        <w:t>È prevista la disp</w:t>
      </w:r>
      <w:r>
        <w:t xml:space="preserve">onibilità di visite in regime di </w:t>
      </w:r>
      <w:r>
        <w:rPr>
          <w:i/>
        </w:rPr>
        <w:t xml:space="preserve">intramoenia </w:t>
      </w:r>
      <w:r>
        <w:t>secondo programmazione del C.U.P.</w:t>
      </w:r>
      <w:r>
        <w:rPr>
          <w:i/>
        </w:rPr>
        <w:t xml:space="preserve"> 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92" w:right="711"/>
        <w:rPr>
          <w:color w:val="000000"/>
        </w:rPr>
        <w:sectPr w:rsidR="00CB4071">
          <w:pgSz w:w="11910" w:h="16840"/>
          <w:pgMar w:top="1360" w:right="220" w:bottom="1140" w:left="940" w:header="0" w:footer="947" w:gutter="0"/>
          <w:cols w:space="720"/>
        </w:sectPr>
      </w:pPr>
      <w:r>
        <w:rPr>
          <w:color w:val="000000"/>
        </w:rPr>
        <w:t>Anche i pazienti residenti in altri comuni del Distretto Socio-Sanitario 13 (Casamassima, Sammichele e Turi) possono avere accesso al C.S.A. di Gioia del Colle rivolgendosi ai centri prelievo di riferimento sul proprio territorio.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37" w:line="360" w:lineRule="auto"/>
        <w:ind w:left="192" w:right="711"/>
        <w:rPr>
          <w:strike/>
          <w:color w:val="FF0000"/>
        </w:rPr>
      </w:pPr>
      <w:bookmarkStart w:id="5" w:name="_2et92p0" w:colFirst="0" w:colLast="0"/>
      <w:bookmarkEnd w:id="5"/>
      <w:r>
        <w:rPr>
          <w:color w:val="000000"/>
        </w:rPr>
        <w:lastRenderedPageBreak/>
        <w:t xml:space="preserve">I campioni di sangue venoso per il dosaggio degli esami coagulativi saranno trasportati presso il C.S.A. di Gioia del Colle per l’esecuzione ed il monitoraggio della terapia anticoagulante. 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7"/>
          <w:szCs w:val="27"/>
        </w:rPr>
      </w:pPr>
    </w:p>
    <w:p w:rsidR="00CB4071" w:rsidRDefault="00302836">
      <w:pPr>
        <w:pStyle w:val="Titolo2"/>
        <w:ind w:firstLine="192"/>
        <w:jc w:val="left"/>
      </w:pPr>
      <w:bookmarkStart w:id="6" w:name="_tyjcwt" w:colFirst="0" w:colLast="0"/>
      <w:bookmarkEnd w:id="6"/>
      <w:r>
        <w:t>Accesso dei nuovi pazienti da monitorare presso il Centro</w:t>
      </w:r>
    </w:p>
    <w:p w:rsidR="00CB4071" w:rsidRDefault="00CB407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" w:right="711"/>
        <w:rPr>
          <w:color w:val="000000"/>
        </w:rPr>
      </w:pPr>
      <w:r>
        <w:rPr>
          <w:color w:val="000000"/>
        </w:rPr>
        <w:t xml:space="preserve">L’accesso dei nuovi pazienti avviene mediante contatto in presenza o telefonico (anche per tramite del </w:t>
      </w:r>
      <w:proofErr w:type="spellStart"/>
      <w:r>
        <w:rPr>
          <w:color w:val="000000"/>
        </w:rPr>
        <w:t>caregiver</w:t>
      </w:r>
      <w:proofErr w:type="spellEnd"/>
      <w:r>
        <w:rPr>
          <w:color w:val="000000"/>
        </w:rPr>
        <w:t>) con il Centro che fornisce tutte le informazioni preliminari necessarie.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"/>
        <w:ind w:left="192"/>
        <w:rPr>
          <w:color w:val="000000"/>
        </w:rPr>
      </w:pPr>
      <w:r>
        <w:rPr>
          <w:color w:val="000000"/>
        </w:rPr>
        <w:t xml:space="preserve">Al primo accesso presso il Centro i nuovi pazienti devono portare la </w:t>
      </w:r>
      <w:r>
        <w:rPr>
          <w:color w:val="000000"/>
        </w:rPr>
        <w:t>documentazione medica inerente la</w:t>
      </w:r>
    </w:p>
    <w:p w:rsidR="00CB4071" w:rsidRDefault="00302836">
      <w:pPr>
        <w:pBdr>
          <w:top w:val="nil"/>
          <w:left w:val="nil"/>
          <w:bottom w:val="nil"/>
          <w:right w:val="nil"/>
          <w:between w:val="nil"/>
        </w:pBdr>
        <w:spacing w:before="132"/>
        <w:ind w:left="192"/>
        <w:rPr>
          <w:color w:val="000000"/>
        </w:rPr>
      </w:pPr>
      <w:r>
        <w:rPr>
          <w:color w:val="000000"/>
        </w:rPr>
        <w:t>diagnosi che ha portato all’assunzione della terapia anticoagulante.</w:t>
      </w:r>
    </w:p>
    <w:sectPr w:rsidR="00CB4071">
      <w:pgSz w:w="11910" w:h="16840"/>
      <w:pgMar w:top="1360" w:right="220" w:bottom="1140" w:left="940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36" w:rsidRDefault="00302836">
      <w:r>
        <w:separator/>
      </w:r>
    </w:p>
  </w:endnote>
  <w:endnote w:type="continuationSeparator" w:id="0">
    <w:p w:rsidR="00302836" w:rsidRDefault="0030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071" w:rsidRDefault="003028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88900</wp:posOffset>
              </wp:positionH>
              <wp:positionV relativeFrom="paragraph">
                <wp:posOffset>9906000</wp:posOffset>
              </wp:positionV>
              <wp:extent cx="6167755" cy="27940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66885" y="3770793"/>
                        <a:ext cx="615823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CB4071" w:rsidRDefault="00CB407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88900</wp:posOffset>
              </wp:positionH>
              <wp:positionV relativeFrom="paragraph">
                <wp:posOffset>9906000</wp:posOffset>
              </wp:positionV>
              <wp:extent cx="6167755" cy="2794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7755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5918200</wp:posOffset>
              </wp:positionH>
              <wp:positionV relativeFrom="paragraph">
                <wp:posOffset>10096500</wp:posOffset>
              </wp:positionV>
              <wp:extent cx="381000" cy="161925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0263" y="3703800"/>
                        <a:ext cx="3714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B4071" w:rsidRDefault="00302836">
                          <w:pPr>
                            <w:spacing w:line="222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6 di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5918200</wp:posOffset>
              </wp:positionH>
              <wp:positionV relativeFrom="paragraph">
                <wp:posOffset>10096500</wp:posOffset>
              </wp:positionV>
              <wp:extent cx="381000" cy="161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36" w:rsidRDefault="00302836">
      <w:r>
        <w:separator/>
      </w:r>
    </w:p>
  </w:footnote>
  <w:footnote w:type="continuationSeparator" w:id="0">
    <w:p w:rsidR="00302836" w:rsidRDefault="0030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34C0"/>
    <w:multiLevelType w:val="multilevel"/>
    <w:tmpl w:val="DE446C8C"/>
    <w:lvl w:ilvl="0">
      <w:numFmt w:val="bullet"/>
      <w:lvlText w:val="•"/>
      <w:lvlJc w:val="left"/>
      <w:pPr>
        <w:ind w:left="192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54" w:hanging="223"/>
      </w:pPr>
    </w:lvl>
    <w:lvl w:ilvl="2">
      <w:numFmt w:val="bullet"/>
      <w:lvlText w:val="•"/>
      <w:lvlJc w:val="left"/>
      <w:pPr>
        <w:ind w:left="2309" w:hanging="223"/>
      </w:pPr>
    </w:lvl>
    <w:lvl w:ilvl="3">
      <w:numFmt w:val="bullet"/>
      <w:lvlText w:val="•"/>
      <w:lvlJc w:val="left"/>
      <w:pPr>
        <w:ind w:left="3363" w:hanging="223"/>
      </w:pPr>
    </w:lvl>
    <w:lvl w:ilvl="4">
      <w:numFmt w:val="bullet"/>
      <w:lvlText w:val="•"/>
      <w:lvlJc w:val="left"/>
      <w:pPr>
        <w:ind w:left="4418" w:hanging="223"/>
      </w:pPr>
    </w:lvl>
    <w:lvl w:ilvl="5">
      <w:numFmt w:val="bullet"/>
      <w:lvlText w:val="•"/>
      <w:lvlJc w:val="left"/>
      <w:pPr>
        <w:ind w:left="5473" w:hanging="223"/>
      </w:pPr>
    </w:lvl>
    <w:lvl w:ilvl="6">
      <w:numFmt w:val="bullet"/>
      <w:lvlText w:val="•"/>
      <w:lvlJc w:val="left"/>
      <w:pPr>
        <w:ind w:left="6527" w:hanging="222"/>
      </w:pPr>
    </w:lvl>
    <w:lvl w:ilvl="7">
      <w:numFmt w:val="bullet"/>
      <w:lvlText w:val="•"/>
      <w:lvlJc w:val="left"/>
      <w:pPr>
        <w:ind w:left="7582" w:hanging="222"/>
      </w:pPr>
    </w:lvl>
    <w:lvl w:ilvl="8">
      <w:numFmt w:val="bullet"/>
      <w:lvlText w:val="•"/>
      <w:lvlJc w:val="left"/>
      <w:pPr>
        <w:ind w:left="8637" w:hanging="223"/>
      </w:pPr>
    </w:lvl>
  </w:abstractNum>
  <w:abstractNum w:abstractNumId="1" w15:restartNumberingAfterBreak="0">
    <w:nsid w:val="3DE40B48"/>
    <w:multiLevelType w:val="multilevel"/>
    <w:tmpl w:val="D1543C0E"/>
    <w:lvl w:ilvl="0">
      <w:numFmt w:val="bullet"/>
      <w:lvlText w:val="-"/>
      <w:lvlJc w:val="left"/>
      <w:pPr>
        <w:ind w:left="310" w:hanging="1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362" w:hanging="119"/>
      </w:pPr>
    </w:lvl>
    <w:lvl w:ilvl="2">
      <w:numFmt w:val="bullet"/>
      <w:lvlText w:val="•"/>
      <w:lvlJc w:val="left"/>
      <w:pPr>
        <w:ind w:left="2405" w:hanging="119"/>
      </w:pPr>
    </w:lvl>
    <w:lvl w:ilvl="3">
      <w:numFmt w:val="bullet"/>
      <w:lvlText w:val="•"/>
      <w:lvlJc w:val="left"/>
      <w:pPr>
        <w:ind w:left="3447" w:hanging="119"/>
      </w:pPr>
    </w:lvl>
    <w:lvl w:ilvl="4">
      <w:numFmt w:val="bullet"/>
      <w:lvlText w:val="•"/>
      <w:lvlJc w:val="left"/>
      <w:pPr>
        <w:ind w:left="4490" w:hanging="119"/>
      </w:pPr>
    </w:lvl>
    <w:lvl w:ilvl="5">
      <w:numFmt w:val="bullet"/>
      <w:lvlText w:val="•"/>
      <w:lvlJc w:val="left"/>
      <w:pPr>
        <w:ind w:left="5533" w:hanging="119"/>
      </w:pPr>
    </w:lvl>
    <w:lvl w:ilvl="6">
      <w:numFmt w:val="bullet"/>
      <w:lvlText w:val="•"/>
      <w:lvlJc w:val="left"/>
      <w:pPr>
        <w:ind w:left="6575" w:hanging="119"/>
      </w:pPr>
    </w:lvl>
    <w:lvl w:ilvl="7">
      <w:numFmt w:val="bullet"/>
      <w:lvlText w:val="•"/>
      <w:lvlJc w:val="left"/>
      <w:pPr>
        <w:ind w:left="7618" w:hanging="119"/>
      </w:pPr>
    </w:lvl>
    <w:lvl w:ilvl="8">
      <w:numFmt w:val="bullet"/>
      <w:lvlText w:val="•"/>
      <w:lvlJc w:val="left"/>
      <w:pPr>
        <w:ind w:left="8661" w:hanging="11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71"/>
    <w:rsid w:val="00302836"/>
    <w:rsid w:val="00525E4A"/>
    <w:rsid w:val="00C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F6E9"/>
  <w15:docId w15:val="{F3EED644-4D10-4BD1-BC16-4FED6042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92"/>
      <w:outlineLvl w:val="0"/>
    </w:pPr>
    <w:rPr>
      <w:rFonts w:ascii="Cambria" w:eastAsia="Cambria" w:hAnsi="Cambria" w:cs="Cambria"/>
      <w:b/>
      <w:sz w:val="26"/>
      <w:szCs w:val="26"/>
    </w:rPr>
  </w:style>
  <w:style w:type="paragraph" w:styleId="Titolo2">
    <w:name w:val="heading 2"/>
    <w:basedOn w:val="Normale"/>
    <w:next w:val="Normale"/>
    <w:pPr>
      <w:ind w:left="192"/>
      <w:jc w:val="both"/>
      <w:outlineLvl w:val="1"/>
    </w:pPr>
    <w:rPr>
      <w:rFonts w:ascii="Cambria" w:eastAsia="Cambria" w:hAnsi="Cambria" w:cs="Cambria"/>
      <w:b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line="609" w:lineRule="auto"/>
      <w:ind w:right="103"/>
      <w:jc w:val="right"/>
    </w:pPr>
    <w:rPr>
      <w:rFonts w:ascii="Cambria" w:eastAsia="Cambria" w:hAnsi="Cambria" w:cs="Cambria"/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it.wikipedia.org/wiki/Apixa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gioi5211097</dc:creator>
  <cp:lastModifiedBy>gioi5211097</cp:lastModifiedBy>
  <cp:revision>2</cp:revision>
  <dcterms:created xsi:type="dcterms:W3CDTF">2022-03-10T14:17:00Z</dcterms:created>
  <dcterms:modified xsi:type="dcterms:W3CDTF">2022-03-10T14:17:00Z</dcterms:modified>
</cp:coreProperties>
</file>