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9085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316"/>
        <w:gridCol w:w="1416"/>
        <w:gridCol w:w="1205"/>
        <w:gridCol w:w="1172"/>
        <w:gridCol w:w="883"/>
        <w:gridCol w:w="750"/>
        <w:gridCol w:w="1885"/>
        <w:gridCol w:w="1458"/>
        <w:gridCol w:w="1890"/>
        <w:gridCol w:w="1115"/>
        <w:gridCol w:w="1404"/>
        <w:gridCol w:w="1970"/>
      </w:tblGrid>
      <w:tr w:rsidR="006D4A48" w:rsidRPr="005C3624" w:rsidTr="005C3624">
        <w:tc>
          <w:tcPr>
            <w:tcW w:w="1483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5C3624">
              <w:rPr>
                <w:rFonts w:ascii="Calibri" w:hAnsi="Calibri" w:cs="Calibri"/>
                <w:b/>
              </w:rPr>
              <w:t>Procedimento Amministrativo</w:t>
            </w:r>
          </w:p>
          <w:p w:rsidR="00576950" w:rsidRPr="005C3624" w:rsidRDefault="00576950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5F2A6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1)</w:t>
            </w:r>
          </w:p>
          <w:p w:rsidR="005F2A68" w:rsidRPr="005C3624" w:rsidRDefault="005F2A6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Pianificazione attività annuale per ognuno dei tre screening oncologici in base alla popolazione target da inviare alle strutture erogatrici</w:t>
            </w:r>
            <w:r w:rsidR="001819B1" w:rsidRP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3624">
              <w:rPr>
                <w:rFonts w:ascii="Calibri" w:hAnsi="Calibri" w:cs="Calibri"/>
                <w:sz w:val="22"/>
                <w:szCs w:val="22"/>
              </w:rPr>
              <w:t>consultori,</w:t>
            </w:r>
            <w:r w:rsid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C3624">
              <w:rPr>
                <w:rFonts w:ascii="Calibri" w:hAnsi="Calibri" w:cs="Calibri"/>
                <w:sz w:val="22"/>
                <w:szCs w:val="22"/>
              </w:rPr>
              <w:t>centri di senologia,</w:t>
            </w:r>
            <w:r w:rsidR="005C3624">
              <w:rPr>
                <w:rFonts w:ascii="Calibri" w:hAnsi="Calibri" w:cs="Calibri"/>
                <w:sz w:val="22"/>
                <w:szCs w:val="22"/>
              </w:rPr>
              <w:t xml:space="preserve"> UOSVD </w:t>
            </w:r>
            <w:r w:rsidRPr="005C3624">
              <w:rPr>
                <w:rFonts w:ascii="Calibri" w:hAnsi="Calibri" w:cs="Calibri"/>
                <w:sz w:val="22"/>
                <w:szCs w:val="22"/>
              </w:rPr>
              <w:t xml:space="preserve">endoscopia </w:t>
            </w:r>
            <w:r w:rsidR="005C3624">
              <w:rPr>
                <w:rFonts w:ascii="Calibri" w:hAnsi="Calibri" w:cs="Calibri"/>
                <w:sz w:val="22"/>
                <w:szCs w:val="22"/>
              </w:rPr>
              <w:t>,</w:t>
            </w:r>
            <w:r w:rsidRPr="005C3624">
              <w:rPr>
                <w:rFonts w:ascii="Calibri" w:hAnsi="Calibri" w:cs="Calibri"/>
                <w:sz w:val="22"/>
                <w:szCs w:val="22"/>
              </w:rPr>
              <w:t>digestiva</w:t>
            </w:r>
            <w:r w:rsid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6950" w:rsidRPr="005C3624">
              <w:rPr>
                <w:rFonts w:ascii="Calibri" w:hAnsi="Calibri" w:cs="Calibri"/>
                <w:sz w:val="22"/>
                <w:szCs w:val="22"/>
              </w:rPr>
              <w:t>anatomia patologica)</w:t>
            </w:r>
            <w:r w:rsidR="001819B1" w:rsidRP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6950" w:rsidRPr="005C3624">
              <w:rPr>
                <w:rFonts w:ascii="Calibri" w:hAnsi="Calibri" w:cs="Calibri"/>
                <w:sz w:val="22"/>
                <w:szCs w:val="22"/>
              </w:rPr>
              <w:t>per la definizione delle agende</w:t>
            </w:r>
          </w:p>
          <w:p w:rsidR="00D24999" w:rsidRPr="005C3624" w:rsidRDefault="00D24999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6D4A48" w:rsidRPr="005C3624" w:rsidRDefault="00576950" w:rsidP="002D73B6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Riferimenti Normativi</w:t>
            </w:r>
            <w:r w:rsidR="006D4A48" w:rsidRPr="005C3624">
              <w:rPr>
                <w:rFonts w:ascii="Calibri" w:hAnsi="Calibri" w:cs="Calibri"/>
                <w:b/>
              </w:rPr>
              <w:t xml:space="preserve"> </w:t>
            </w:r>
          </w:p>
          <w:p w:rsidR="00576950" w:rsidRPr="005C3624" w:rsidRDefault="00576950" w:rsidP="002D73B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2D73B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2D73B6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 xml:space="preserve">Piano Regionale Prevenzione. Protocolli nazionali e regionali screening </w:t>
            </w:r>
          </w:p>
        </w:tc>
        <w:tc>
          <w:tcPr>
            <w:tcW w:w="1316" w:type="dxa"/>
          </w:tcPr>
          <w:p w:rsidR="006D4A48" w:rsidRPr="005C3624" w:rsidRDefault="006D4A48" w:rsidP="002D73B6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 xml:space="preserve">Avvio del procedimento </w:t>
            </w:r>
          </w:p>
          <w:p w:rsidR="006D4A48" w:rsidRPr="005C3624" w:rsidRDefault="006D4A48" w:rsidP="002D73B6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(</w:t>
            </w:r>
            <w:proofErr w:type="spellStart"/>
            <w:r w:rsidRPr="005C3624">
              <w:rPr>
                <w:rFonts w:ascii="Calibri" w:hAnsi="Calibri" w:cs="Calibri"/>
                <w:b/>
              </w:rPr>
              <w:t>n.b.</w:t>
            </w:r>
            <w:proofErr w:type="spellEnd"/>
            <w:r w:rsidRPr="005C3624">
              <w:rPr>
                <w:rFonts w:ascii="Calibri" w:hAnsi="Calibri" w:cs="Calibri"/>
                <w:b/>
              </w:rPr>
              <w:t xml:space="preserve"> indicare se è </w:t>
            </w:r>
            <w:r w:rsidR="00576950" w:rsidRPr="005C3624">
              <w:rPr>
                <w:rFonts w:ascii="Calibri" w:hAnsi="Calibri" w:cs="Calibri"/>
                <w:b/>
              </w:rPr>
              <w:t>d’ufficio o su istanza di parte)</w:t>
            </w:r>
          </w:p>
          <w:p w:rsidR="00576950" w:rsidRPr="005C3624" w:rsidRDefault="00576950" w:rsidP="002D73B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76950" w:rsidRPr="005C3624" w:rsidRDefault="00576950" w:rsidP="002D73B6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2D73B6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6D4A48" w:rsidRPr="005C3624" w:rsidRDefault="006D4A48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Unità organizzativa Referente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6D4A48" w:rsidRPr="005C3624" w:rsidRDefault="006D4A48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Responsabile Procedimento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6D4A48" w:rsidRPr="005C3624" w:rsidRDefault="006D4A48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Termine conclusione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Entro il mese di gennaio dell’anno di riferimento</w:t>
            </w:r>
          </w:p>
        </w:tc>
        <w:tc>
          <w:tcPr>
            <w:tcW w:w="883" w:type="dxa"/>
          </w:tcPr>
          <w:p w:rsidR="006D4A48" w:rsidRPr="005C3624" w:rsidRDefault="006D4A48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Recapiti Ufficio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N° verde 800185007;</w:t>
            </w:r>
          </w:p>
          <w:p w:rsidR="00576950" w:rsidRPr="005C3624" w:rsidRDefault="00576950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0883577719</w:t>
            </w:r>
          </w:p>
        </w:tc>
        <w:tc>
          <w:tcPr>
            <w:tcW w:w="750" w:type="dxa"/>
          </w:tcPr>
          <w:p w:rsidR="00576950" w:rsidRPr="005C3624" w:rsidRDefault="006D4A48" w:rsidP="003D778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Orari ufficio</w:t>
            </w:r>
          </w:p>
          <w:p w:rsidR="00576950" w:rsidRPr="005C3624" w:rsidRDefault="00576950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8-14 dal lunedì al venerdì;</w:t>
            </w:r>
          </w:p>
          <w:p w:rsidR="006D4A48" w:rsidRPr="005C3624" w:rsidRDefault="00576950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15-18 martedì e giovedì</w:t>
            </w:r>
            <w:r w:rsidR="006D4A48" w:rsidRP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</w:tcPr>
          <w:p w:rsidR="006D4A48" w:rsidRPr="005C3624" w:rsidRDefault="0068401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proofErr w:type="spellStart"/>
            <w:r w:rsidRPr="005C3624">
              <w:rPr>
                <w:rFonts w:ascii="Calibri" w:hAnsi="Calibri" w:cs="Calibri"/>
                <w:b/>
              </w:rPr>
              <w:t>Modalita’</w:t>
            </w:r>
            <w:proofErr w:type="spellEnd"/>
            <w:r w:rsidRPr="005C3624">
              <w:rPr>
                <w:rFonts w:ascii="Calibri" w:hAnsi="Calibri" w:cs="Calibri"/>
                <w:b/>
              </w:rPr>
              <w:t xml:space="preserve"> di </w:t>
            </w:r>
            <w:r w:rsidR="006D4A48" w:rsidRPr="005C3624">
              <w:rPr>
                <w:rFonts w:ascii="Calibri" w:hAnsi="Calibri" w:cs="Calibri"/>
                <w:b/>
              </w:rPr>
              <w:t>Conclusione del procedimento  (indicare se il procedimento deve concludersi:</w:t>
            </w:r>
          </w:p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 xml:space="preserve">a) con </w:t>
            </w:r>
          </w:p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Provvedimento espresso dell’azienda;</w:t>
            </w:r>
          </w:p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b) il provvedimento dell'amministrazione può essere sostituito da una dichiarazione dell'interessato;</w:t>
            </w:r>
          </w:p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c) il procedimento può concludersi con il silenzio-assenso dell'amministrazione</w:t>
            </w:r>
          </w:p>
          <w:p w:rsidR="00576950" w:rsidRPr="005C3624" w:rsidRDefault="00576950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76950" w:rsidRPr="005C3624" w:rsidRDefault="00576950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Strumenti di tutela  amministrativa e giurisdizionale, riconosciuti dalla legge in favore dell'interessato, e i modi per attivarli</w:t>
            </w:r>
          </w:p>
          <w:p w:rsidR="00902AB4" w:rsidRPr="005C3624" w:rsidRDefault="00902AB4" w:rsidP="00157F24">
            <w:pPr>
              <w:spacing w:line="276" w:lineRule="auto"/>
              <w:rPr>
                <w:rFonts w:ascii="Calibri" w:hAnsi="Calibri" w:cs="Calibri"/>
                <w:b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6D4A4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6D4A48" w:rsidRPr="005C3624" w:rsidRDefault="00B809B1" w:rsidP="003D778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Link di accesso al servizio on line</w:t>
            </w:r>
          </w:p>
          <w:p w:rsidR="00B809B1" w:rsidRPr="005C3624" w:rsidRDefault="00B809B1" w:rsidP="003D778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(ove disponibile)</w:t>
            </w: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Potere Sostitutivo</w:t>
            </w:r>
          </w:p>
        </w:tc>
        <w:tc>
          <w:tcPr>
            <w:tcW w:w="1404" w:type="dxa"/>
          </w:tcPr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</w:rPr>
            </w:pPr>
            <w:r w:rsidRPr="005C3624">
              <w:rPr>
                <w:rFonts w:ascii="Calibri" w:hAnsi="Calibri" w:cs="Calibri"/>
                <w:b/>
              </w:rPr>
              <w:t>Modalità per l'effettuazione dei pagamenti eventualmente necessari : (indicazione dei codici IBAN, o C.C.P. identificativi del conto di pagamento, ovvero di imputazione del versamento in Tesoreria</w:t>
            </w:r>
            <w:r w:rsidRPr="005C3624">
              <w:rPr>
                <w:rFonts w:ascii="Calibri" w:hAnsi="Calibri" w:cs="Calibri"/>
              </w:rPr>
              <w:t>)</w:t>
            </w:r>
          </w:p>
          <w:p w:rsidR="00902AB4" w:rsidRPr="005C3624" w:rsidRDefault="00902AB4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6D4A48" w:rsidRPr="005C3624" w:rsidRDefault="006D4A48" w:rsidP="00025CC3">
            <w:pPr>
              <w:rPr>
                <w:rFonts w:ascii="Calibri" w:hAnsi="Calibri" w:cs="Calibri"/>
                <w:b/>
              </w:rPr>
            </w:pPr>
            <w:r w:rsidRPr="005C3624">
              <w:rPr>
                <w:rFonts w:ascii="Calibri" w:hAnsi="Calibri" w:cs="Calibri"/>
                <w:b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902AB4" w:rsidRPr="005C3624" w:rsidRDefault="00902AB4" w:rsidP="00025CC3">
            <w:pPr>
              <w:rPr>
                <w:rFonts w:ascii="Calibri" w:hAnsi="Calibri" w:cs="Calibri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025CC3">
            <w:pPr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4A48" w:rsidRPr="005C3624" w:rsidTr="005C3624">
        <w:tc>
          <w:tcPr>
            <w:tcW w:w="1483" w:type="dxa"/>
          </w:tcPr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2)</w:t>
            </w:r>
          </w:p>
          <w:p w:rsidR="006D4A48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Invio inviti con calendarizzazi</w:t>
            </w: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one delle agende sulla base della capacità ricettiva comunicata e verificata delle diverse strutture erogatrici</w:t>
            </w:r>
          </w:p>
        </w:tc>
        <w:tc>
          <w:tcPr>
            <w:tcW w:w="1138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</w:t>
            </w: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ne. Protocolli nazionali e regionali screening</w:t>
            </w:r>
          </w:p>
        </w:tc>
        <w:tc>
          <w:tcPr>
            <w:tcW w:w="1316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902AB4" w:rsidRPr="005C3624" w:rsidRDefault="00902AB4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 xml:space="preserve">Almeno 1 mese prima </w:t>
            </w: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della calendarizzazione degli inviti</w:t>
            </w:r>
          </w:p>
        </w:tc>
        <w:tc>
          <w:tcPr>
            <w:tcW w:w="883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6D4A48" w:rsidRPr="005C3624" w:rsidRDefault="006D4A48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22986" w:rsidRPr="005C3624" w:rsidRDefault="00022986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22986" w:rsidRPr="005C3624" w:rsidRDefault="00022986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22986" w:rsidRPr="005C3624" w:rsidRDefault="00022986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22986" w:rsidRPr="005C3624" w:rsidRDefault="00022986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6D4A48" w:rsidRPr="005C3624" w:rsidRDefault="006D4A48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022986" w:rsidRPr="005C3624" w:rsidRDefault="00022986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  <w:tr w:rsidR="00392F1A" w:rsidRPr="005C3624" w:rsidTr="005C3624">
        <w:tc>
          <w:tcPr>
            <w:tcW w:w="1483" w:type="dxa"/>
          </w:tcPr>
          <w:p w:rsidR="00392F1A" w:rsidRPr="005C3624" w:rsidRDefault="00393DAC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3)</w:t>
            </w:r>
          </w:p>
          <w:p w:rsidR="00392F1A" w:rsidRPr="005C3624" w:rsidRDefault="00392F1A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Controllo dell’avvenuta erogazione delle prestazioni e dell’inserimento dei dati nel SIRS</w:t>
            </w: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</w:tc>
        <w:tc>
          <w:tcPr>
            <w:tcW w:w="1316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392F1A" w:rsidRPr="005C3624" w:rsidRDefault="00392F1A" w:rsidP="004D37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4D37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392F1A" w:rsidP="004D37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392F1A" w:rsidRPr="005C3624" w:rsidRDefault="00392F1A" w:rsidP="004D370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1819B1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Almeno una verifica settimanale</w:t>
            </w:r>
          </w:p>
        </w:tc>
        <w:tc>
          <w:tcPr>
            <w:tcW w:w="883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392F1A" w:rsidRPr="005C3624" w:rsidRDefault="00392F1A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392F1A" w:rsidP="003D778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  <w:tr w:rsidR="00392F1A" w:rsidRPr="005C3624" w:rsidTr="005C3624">
        <w:tc>
          <w:tcPr>
            <w:tcW w:w="1483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4)</w:t>
            </w:r>
          </w:p>
          <w:p w:rsidR="00392F1A" w:rsidRPr="005C3624" w:rsidRDefault="00392F1A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Invio delle lettere di comunicazione di negatività dell’esame alle persone che hanno effettuato la prestazione</w:t>
            </w:r>
          </w:p>
        </w:tc>
        <w:tc>
          <w:tcPr>
            <w:tcW w:w="1138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</w:tc>
        <w:tc>
          <w:tcPr>
            <w:tcW w:w="1316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Entro i termini previsti dai Protocolli nazionali e regionali screening</w:t>
            </w:r>
          </w:p>
        </w:tc>
        <w:tc>
          <w:tcPr>
            <w:tcW w:w="883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392F1A" w:rsidRPr="005C3624" w:rsidRDefault="00392F1A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392F1A" w:rsidRPr="005C3624" w:rsidRDefault="00392F1A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92F1A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2BA3" w:rsidRPr="005C3624" w:rsidTr="005C3624">
        <w:tc>
          <w:tcPr>
            <w:tcW w:w="1483" w:type="dxa"/>
          </w:tcPr>
          <w:p w:rsidR="00E42BA3" w:rsidRPr="005C3624" w:rsidRDefault="00E42BA3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5)</w:t>
            </w:r>
          </w:p>
          <w:p w:rsidR="00E42BA3" w:rsidRPr="005C3624" w:rsidRDefault="00432E65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Chiamata telefonica</w:t>
            </w:r>
            <w:r w:rsidR="00B76B6D" w:rsidRPr="005C3624">
              <w:rPr>
                <w:rFonts w:ascii="Calibri" w:hAnsi="Calibri" w:cs="Calibri"/>
                <w:sz w:val="22"/>
                <w:szCs w:val="22"/>
              </w:rPr>
              <w:t xml:space="preserve">, e invio raccomandata a quelle che non rispondono alla chiamata effettuata in orari e giornate diverse,  </w:t>
            </w:r>
            <w:r w:rsidRPr="005C3624">
              <w:rPr>
                <w:rFonts w:ascii="Calibri" w:hAnsi="Calibri" w:cs="Calibri"/>
                <w:sz w:val="22"/>
                <w:szCs w:val="22"/>
              </w:rPr>
              <w:t xml:space="preserve"> delle persone</w:t>
            </w:r>
            <w:r w:rsidR="00E42BA3" w:rsidRPr="005C36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2BA3" w:rsidRPr="005C3624">
              <w:rPr>
                <w:rFonts w:ascii="Calibri" w:hAnsi="Calibri" w:cs="Calibri"/>
                <w:sz w:val="22"/>
                <w:szCs w:val="22"/>
              </w:rPr>
              <w:lastRenderedPageBreak/>
              <w:t>il cui esa</w:t>
            </w:r>
            <w:r w:rsidR="001819B1" w:rsidRPr="005C3624">
              <w:rPr>
                <w:rFonts w:ascii="Calibri" w:hAnsi="Calibri" w:cs="Calibri"/>
                <w:sz w:val="22"/>
                <w:szCs w:val="22"/>
              </w:rPr>
              <w:t>me di I livello non è negativo con</w:t>
            </w:r>
            <w:r w:rsidR="00E42BA3" w:rsidRPr="005C3624">
              <w:rPr>
                <w:rFonts w:ascii="Calibri" w:hAnsi="Calibri" w:cs="Calibri"/>
                <w:sz w:val="22"/>
                <w:szCs w:val="22"/>
              </w:rPr>
              <w:t xml:space="preserve"> assegnazione della data di effettuazione dell’ esame di approfondimento/II livello</w:t>
            </w:r>
            <w:r w:rsidR="001819B1" w:rsidRPr="005C3624">
              <w:rPr>
                <w:rFonts w:ascii="Calibri" w:hAnsi="Calibri" w:cs="Calibri"/>
                <w:sz w:val="22"/>
                <w:szCs w:val="22"/>
              </w:rPr>
              <w:t xml:space="preserve"> sulla scorta della disponibilità comunicata dai centri erogatori delle prestazioni di II livello</w:t>
            </w:r>
          </w:p>
        </w:tc>
        <w:tc>
          <w:tcPr>
            <w:tcW w:w="1138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</w:tc>
        <w:tc>
          <w:tcPr>
            <w:tcW w:w="1316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Entro i termini previsti dai Protocolli nazionali e regionali screening</w:t>
            </w:r>
          </w:p>
        </w:tc>
        <w:tc>
          <w:tcPr>
            <w:tcW w:w="883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E42BA3" w:rsidRPr="005C3624" w:rsidRDefault="00E42BA3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Ricorso all’autorità giudiziaria ordinaria da parte del cittadino in caso di omesso o ritardato richiamo ad approfond</w:t>
            </w:r>
            <w:r w:rsidR="005C3624">
              <w:rPr>
                <w:rFonts w:ascii="Calibri" w:hAnsi="Calibri" w:cs="Calibri"/>
                <w:sz w:val="22"/>
                <w:szCs w:val="22"/>
              </w:rPr>
              <w:t>i</w:t>
            </w:r>
          </w:p>
          <w:p w:rsidR="006E6F71" w:rsidRP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mento</w:t>
            </w:r>
          </w:p>
        </w:tc>
        <w:tc>
          <w:tcPr>
            <w:tcW w:w="189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  <w:tr w:rsidR="00E42BA3" w:rsidRPr="005C3624" w:rsidTr="005C3624">
        <w:trPr>
          <w:trHeight w:val="3549"/>
        </w:trPr>
        <w:tc>
          <w:tcPr>
            <w:tcW w:w="1483" w:type="dxa"/>
          </w:tcPr>
          <w:p w:rsidR="00B76B6D" w:rsidRPr="005C3624" w:rsidRDefault="00B76B6D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6) Chiamata telefonica, e invio raccomandata a quelle che non rispondono al telefono, delle persone a cui è stato definito un controllo a un tempo prefissato</w:t>
            </w:r>
          </w:p>
          <w:p w:rsidR="00E42BA3" w:rsidRPr="005C3624" w:rsidRDefault="00E42BA3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</w:tc>
        <w:tc>
          <w:tcPr>
            <w:tcW w:w="1316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 xml:space="preserve">Centro Screening </w:t>
            </w:r>
          </w:p>
        </w:tc>
        <w:tc>
          <w:tcPr>
            <w:tcW w:w="1172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76B6D" w:rsidRPr="005C3624" w:rsidRDefault="00B76B6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Entro i termini previsti dai Protocolli nazionali e regionali screening</w:t>
            </w:r>
          </w:p>
        </w:tc>
        <w:tc>
          <w:tcPr>
            <w:tcW w:w="883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E42BA3" w:rsidRPr="005C3624" w:rsidRDefault="00E42BA3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240B" w:rsidRPr="005C3624" w:rsidRDefault="0044240B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240B" w:rsidRP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240B" w:rsidRP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240B" w:rsidRP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E42BA3" w:rsidRPr="005C3624" w:rsidRDefault="00E42BA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44240B" w:rsidRPr="005C3624" w:rsidRDefault="0044240B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  <w:tr w:rsidR="006E6F71" w:rsidRPr="005C3624" w:rsidTr="005C3624">
        <w:tc>
          <w:tcPr>
            <w:tcW w:w="1483" w:type="dxa"/>
          </w:tcPr>
          <w:p w:rsidR="006E6F71" w:rsidRPr="005C3624" w:rsidRDefault="00204743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7</w:t>
            </w:r>
            <w:r w:rsidR="006E6F71" w:rsidRPr="005C3624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B76B6D" w:rsidRPr="005C3624" w:rsidRDefault="00B76B6D" w:rsidP="001819B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Rendicontazione annuale alla Direzione Strategica e alla Direzione dell’Area Controllo di Gestione Asl d</w:t>
            </w:r>
            <w:r w:rsidR="0058171D" w:rsidRPr="005C3624">
              <w:rPr>
                <w:rFonts w:ascii="Calibri" w:hAnsi="Calibri" w:cs="Calibri"/>
                <w:sz w:val="22"/>
                <w:szCs w:val="22"/>
              </w:rPr>
              <w:t>e</w:t>
            </w:r>
            <w:r w:rsidRPr="005C3624">
              <w:rPr>
                <w:rFonts w:ascii="Calibri" w:hAnsi="Calibri" w:cs="Calibri"/>
                <w:sz w:val="22"/>
                <w:szCs w:val="22"/>
              </w:rPr>
              <w:t>lle Attività svolte con estrapolazion</w:t>
            </w: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e dei dati di attività dal SIRS</w:t>
            </w:r>
          </w:p>
          <w:p w:rsidR="006E6F71" w:rsidRPr="005C3624" w:rsidRDefault="006E6F71" w:rsidP="00B76B6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8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</w:tc>
        <w:tc>
          <w:tcPr>
            <w:tcW w:w="1316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</w:tc>
        <w:tc>
          <w:tcPr>
            <w:tcW w:w="1416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57F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</w:tc>
        <w:tc>
          <w:tcPr>
            <w:tcW w:w="1205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6E6F71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95A0F" w:rsidRPr="005C3624" w:rsidRDefault="00B95A0F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Entro il mese di febbraio dell’anno successivo</w:t>
            </w:r>
          </w:p>
        </w:tc>
        <w:tc>
          <w:tcPr>
            <w:tcW w:w="883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6E6F71" w:rsidRPr="005C3624" w:rsidRDefault="006E6F71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115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6E6F71" w:rsidRPr="005C3624" w:rsidRDefault="006E6F71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  <w:tr w:rsidR="0058171D" w:rsidRPr="005C3624" w:rsidTr="005C3624">
        <w:tc>
          <w:tcPr>
            <w:tcW w:w="1483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lastRenderedPageBreak/>
              <w:t>8)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Contatti telefonici con l’utenza che richiede informazioni sulle procedure, conferme e/o spostamenti appuntamenti</w:t>
            </w:r>
          </w:p>
        </w:tc>
        <w:tc>
          <w:tcPr>
            <w:tcW w:w="1138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Piano Regionale Prevenzione. Protocolli nazionali e regionali screening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D’ufficio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6" w:type="dxa"/>
          </w:tcPr>
          <w:p w:rsidR="00157F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U.O.S.V.D.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Governance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Rete </w:t>
            </w:r>
            <w:proofErr w:type="spellStart"/>
            <w:r w:rsidRPr="005C3624">
              <w:rPr>
                <w:rFonts w:ascii="Calibri" w:hAnsi="Calibri" w:cs="Calibri"/>
                <w:sz w:val="22"/>
                <w:szCs w:val="22"/>
              </w:rPr>
              <w:t>consultoriale</w:t>
            </w:r>
            <w:proofErr w:type="spellEnd"/>
            <w:r w:rsidRPr="005C3624">
              <w:rPr>
                <w:rFonts w:ascii="Calibri" w:hAnsi="Calibri" w:cs="Calibri"/>
                <w:sz w:val="22"/>
                <w:szCs w:val="22"/>
              </w:rPr>
              <w:t xml:space="preserve"> e Screening Oncologici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5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Centro Screening</w:t>
            </w:r>
          </w:p>
        </w:tc>
        <w:tc>
          <w:tcPr>
            <w:tcW w:w="1172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3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0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</w:tcPr>
          <w:p w:rsidR="0058171D" w:rsidRPr="005C3624" w:rsidRDefault="0058171D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157F2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458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890" w:type="dxa"/>
          </w:tcPr>
          <w:p w:rsidR="005C3624" w:rsidRPr="005C3624" w:rsidRDefault="005C3624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5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C3624" w:rsidRPr="005C3624" w:rsidRDefault="005C3624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C3624" w:rsidRPr="005C3624" w:rsidRDefault="005C3624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  <w:tc>
          <w:tcPr>
            <w:tcW w:w="1970" w:type="dxa"/>
          </w:tcPr>
          <w:p w:rsidR="0058171D" w:rsidRPr="005C3624" w:rsidRDefault="0058171D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5C3624" w:rsidRPr="005C3624" w:rsidRDefault="005C3624" w:rsidP="00F87B4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C3624">
              <w:rPr>
                <w:rFonts w:ascii="Calibri" w:hAnsi="Calibri" w:cs="Calibri"/>
                <w:sz w:val="22"/>
                <w:szCs w:val="22"/>
              </w:rPr>
              <w:t>Non applicabile</w:t>
            </w:r>
          </w:p>
        </w:tc>
      </w:tr>
    </w:tbl>
    <w:p w:rsidR="00393DAC" w:rsidRPr="005C3624" w:rsidRDefault="00393DAC" w:rsidP="00393DAC">
      <w:pPr>
        <w:spacing w:line="276" w:lineRule="auto"/>
        <w:rPr>
          <w:rFonts w:ascii="Calibri" w:hAnsi="Calibri" w:cs="Calibri"/>
          <w:sz w:val="22"/>
          <w:szCs w:val="22"/>
        </w:rPr>
      </w:pP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  <w:r w:rsidRPr="005C3624">
        <w:rPr>
          <w:rFonts w:ascii="Calibri" w:hAnsi="Calibri" w:cs="Calibri"/>
          <w:sz w:val="22"/>
          <w:szCs w:val="22"/>
        </w:rPr>
        <w:tab/>
      </w:r>
    </w:p>
    <w:p w:rsidR="005F5824" w:rsidRDefault="00393DAC" w:rsidP="005F582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5824" w:rsidRDefault="005F5824" w:rsidP="005F5824">
      <w:pPr>
        <w:spacing w:line="276" w:lineRule="auto"/>
        <w:ind w:left="6381" w:firstLine="709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C483" wp14:editId="30E4B9B3">
                <wp:simplePos x="0" y="0"/>
                <wp:positionH relativeFrom="column">
                  <wp:posOffset>-360045</wp:posOffset>
                </wp:positionH>
                <wp:positionV relativeFrom="page">
                  <wp:posOffset>3600450</wp:posOffset>
                </wp:positionV>
                <wp:extent cx="114300" cy="1270"/>
                <wp:effectExtent l="0" t="0" r="0" b="1778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B85E142" id="Connettore 1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" strokeweight=".18mm">
                <v:stroke joinstyle="miter"/>
                <w10:wrap anchory="page"/>
              </v:line>
            </w:pict>
          </mc:Fallback>
        </mc:AlternateContent>
      </w:r>
      <w:r>
        <w:rPr>
          <w:sz w:val="24"/>
          <w:szCs w:val="24"/>
        </w:rPr>
        <w:t>Dirigente Responsabile U.O.S.V.D.</w:t>
      </w:r>
    </w:p>
    <w:p w:rsidR="005F5824" w:rsidRDefault="005F5824" w:rsidP="005F582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Dr.ssa Angela M. </w:t>
      </w:r>
      <w:proofErr w:type="spellStart"/>
      <w:r>
        <w:rPr>
          <w:sz w:val="24"/>
          <w:szCs w:val="24"/>
        </w:rPr>
        <w:t>Belsanti</w:t>
      </w:r>
      <w:proofErr w:type="spellEnd"/>
    </w:p>
    <w:p w:rsidR="005F5824" w:rsidRDefault="005F5824" w:rsidP="005F5824">
      <w:pPr>
        <w:spacing w:line="276" w:lineRule="auto"/>
        <w:rPr>
          <w:sz w:val="24"/>
          <w:szCs w:val="24"/>
        </w:rPr>
      </w:pPr>
    </w:p>
    <w:p w:rsidR="00393DAC" w:rsidRDefault="00393DAC" w:rsidP="00393DAC">
      <w:pPr>
        <w:spacing w:line="276" w:lineRule="auto"/>
        <w:rPr>
          <w:sz w:val="24"/>
          <w:szCs w:val="24"/>
        </w:rPr>
      </w:pPr>
    </w:p>
    <w:p w:rsidR="00AA4464" w:rsidRPr="005C3624" w:rsidRDefault="00AA4464" w:rsidP="00AA4464">
      <w:pPr>
        <w:spacing w:line="276" w:lineRule="auto"/>
        <w:jc w:val="center"/>
      </w:pPr>
    </w:p>
    <w:sectPr w:rsidR="00AA4464" w:rsidRPr="005C3624" w:rsidSect="005F5824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1134" w:right="2552" w:bottom="1134" w:left="1134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918" w:rsidRDefault="00EF5918" w:rsidP="00114F7B">
      <w:r>
        <w:separator/>
      </w:r>
    </w:p>
  </w:endnote>
  <w:endnote w:type="continuationSeparator" w:id="0">
    <w:p w:rsidR="00EF5918" w:rsidRDefault="00EF5918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24" w:rsidRDefault="00393DAC" w:rsidP="005F5824">
    <w:pPr>
      <w:spacing w:line="276" w:lineRule="auto"/>
      <w:rPr>
        <w:sz w:val="24"/>
        <w:szCs w:val="24"/>
      </w:rPr>
    </w:pP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="005F5824"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0D863" wp14:editId="11AA4D7F">
              <wp:simplePos x="0" y="0"/>
              <wp:positionH relativeFrom="column">
                <wp:posOffset>-360045</wp:posOffset>
              </wp:positionH>
              <wp:positionV relativeFrom="page">
                <wp:posOffset>3600450</wp:posOffset>
              </wp:positionV>
              <wp:extent cx="114300" cy="1270"/>
              <wp:effectExtent l="0" t="0" r="0" b="1778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14300" cy="127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E802B34" id="Connettore 1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  <v:stroke joinstyle="miter"/>
              <w10:wrap anchory="page"/>
            </v:line>
          </w:pict>
        </mc:Fallback>
      </mc:AlternateContent>
    </w:r>
  </w:p>
  <w:p w:rsidR="005F5824" w:rsidRDefault="005F5824" w:rsidP="005F5824">
    <w:pPr>
      <w:spacing w:line="276" w:lineRule="auto"/>
      <w:rPr>
        <w:sz w:val="24"/>
        <w:szCs w:val="24"/>
      </w:rPr>
    </w:pPr>
  </w:p>
  <w:p w:rsidR="00970543" w:rsidRPr="00ED6C8C" w:rsidRDefault="00970543" w:rsidP="005F5824">
    <w:pPr>
      <w:tabs>
        <w:tab w:val="left" w:pos="6330"/>
        <w:tab w:val="right" w:pos="9639"/>
        <w:tab w:val="right" w:pos="20125"/>
      </w:tabs>
      <w:spacing w:before="480"/>
      <w:rPr>
        <w:rFonts w:ascii="Calibri" w:hAnsi="Calibri" w:cs="Calibri"/>
        <w:b/>
        <w:bCs/>
        <w:color w:val="262626"/>
        <w:sz w:val="16"/>
        <w:szCs w:val="16"/>
      </w:rPr>
    </w:pP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56" w:rsidRDefault="00EF5918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918" w:rsidRDefault="00EF5918" w:rsidP="00114F7B">
      <w:r>
        <w:separator/>
      </w:r>
    </w:p>
  </w:footnote>
  <w:footnote w:type="continuationSeparator" w:id="0">
    <w:p w:rsidR="00EF5918" w:rsidRDefault="00EF5918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952C16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</w:p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D6BBA9B" wp14:editId="38E2B25D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63477E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B55DA4" w:rsidRDefault="00952C16" w:rsidP="00952C16">
    <w:pPr>
      <w:jc w:val="center"/>
    </w:pPr>
    <w:r>
      <w:t xml:space="preserve">PROCEDIMENTI  EX ART. 35 del D.LGS n. 33/2013  e </w:t>
    </w:r>
    <w:proofErr w:type="spellStart"/>
    <w:r>
      <w:t>s.m.i.</w:t>
    </w:r>
    <w:proofErr w:type="spellEnd"/>
  </w:p>
  <w:p w:rsidR="00AA4464" w:rsidRDefault="00AA4464" w:rsidP="00952C16">
    <w:pPr>
      <w:jc w:val="center"/>
    </w:pPr>
  </w:p>
  <w:p w:rsidR="00AA4464" w:rsidRDefault="005F2A68" w:rsidP="00952C16">
    <w:pPr>
      <w:jc w:val="center"/>
    </w:pPr>
    <w:r>
      <w:t>DIPARTIMENTO DISTRETTUALE</w:t>
    </w:r>
  </w:p>
  <w:p w:rsidR="00AA4464" w:rsidRDefault="00AA4464" w:rsidP="00AA4464">
    <w:pPr>
      <w:jc w:val="center"/>
    </w:pPr>
  </w:p>
  <w:p w:rsidR="00AA4464" w:rsidRDefault="00AA4464" w:rsidP="00AA4464">
    <w:pPr>
      <w:jc w:val="center"/>
    </w:pPr>
    <w:r>
      <w:t xml:space="preserve"> </w:t>
    </w:r>
    <w:r w:rsidR="005F2A68">
      <w:t>UOSVD GOVERNANCE RETE CONSULTORIALE E SCREENING ONCOLOGICI</w:t>
    </w:r>
  </w:p>
  <w:p w:rsidR="00AA4464" w:rsidRDefault="00AA4464" w:rsidP="00AA4464">
    <w:pPr>
      <w:jc w:val="center"/>
    </w:pPr>
  </w:p>
  <w:p w:rsidR="00AA4464" w:rsidRDefault="00AA4464" w:rsidP="00AA4464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49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31"/>
    <w:rsid w:val="00000FBC"/>
    <w:rsid w:val="00014261"/>
    <w:rsid w:val="000148D1"/>
    <w:rsid w:val="00016828"/>
    <w:rsid w:val="00022986"/>
    <w:rsid w:val="00025CC3"/>
    <w:rsid w:val="000350D4"/>
    <w:rsid w:val="00040C9A"/>
    <w:rsid w:val="00055CCA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57F24"/>
    <w:rsid w:val="00174ABB"/>
    <w:rsid w:val="001819B1"/>
    <w:rsid w:val="00185135"/>
    <w:rsid w:val="001965CA"/>
    <w:rsid w:val="001A3464"/>
    <w:rsid w:val="001A7D1C"/>
    <w:rsid w:val="001A7EF9"/>
    <w:rsid w:val="001C2FD8"/>
    <w:rsid w:val="001D21B3"/>
    <w:rsid w:val="001D5F5D"/>
    <w:rsid w:val="00203A61"/>
    <w:rsid w:val="00204743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92F1A"/>
    <w:rsid w:val="00393DAC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65"/>
    <w:rsid w:val="00432E70"/>
    <w:rsid w:val="00433BA0"/>
    <w:rsid w:val="004379D3"/>
    <w:rsid w:val="00440EF1"/>
    <w:rsid w:val="0044240B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45DF"/>
    <w:rsid w:val="00542850"/>
    <w:rsid w:val="00545AB9"/>
    <w:rsid w:val="00552C86"/>
    <w:rsid w:val="005541C1"/>
    <w:rsid w:val="00554F61"/>
    <w:rsid w:val="00566C07"/>
    <w:rsid w:val="005671AE"/>
    <w:rsid w:val="00576950"/>
    <w:rsid w:val="0058171D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3624"/>
    <w:rsid w:val="005C56A6"/>
    <w:rsid w:val="005E32DC"/>
    <w:rsid w:val="005F2A68"/>
    <w:rsid w:val="005F351C"/>
    <w:rsid w:val="005F5824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C286C"/>
    <w:rsid w:val="006D4A48"/>
    <w:rsid w:val="006E6F71"/>
    <w:rsid w:val="006E75C5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472D2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C7074"/>
    <w:rsid w:val="008D2527"/>
    <w:rsid w:val="008E282F"/>
    <w:rsid w:val="008E720F"/>
    <w:rsid w:val="0090246E"/>
    <w:rsid w:val="00902AB4"/>
    <w:rsid w:val="009048B5"/>
    <w:rsid w:val="00911324"/>
    <w:rsid w:val="00913048"/>
    <w:rsid w:val="00941DA6"/>
    <w:rsid w:val="00947D87"/>
    <w:rsid w:val="00952C16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9F66E4"/>
    <w:rsid w:val="00A11979"/>
    <w:rsid w:val="00A163F5"/>
    <w:rsid w:val="00A236E5"/>
    <w:rsid w:val="00A23C83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4464"/>
    <w:rsid w:val="00AD5CFC"/>
    <w:rsid w:val="00AF0FD4"/>
    <w:rsid w:val="00AF3BB0"/>
    <w:rsid w:val="00AF59DB"/>
    <w:rsid w:val="00AF6886"/>
    <w:rsid w:val="00B070B0"/>
    <w:rsid w:val="00B11189"/>
    <w:rsid w:val="00B215DA"/>
    <w:rsid w:val="00B224A7"/>
    <w:rsid w:val="00B461E8"/>
    <w:rsid w:val="00B46DE7"/>
    <w:rsid w:val="00B5252B"/>
    <w:rsid w:val="00B55DA4"/>
    <w:rsid w:val="00B62170"/>
    <w:rsid w:val="00B67ACD"/>
    <w:rsid w:val="00B76B6D"/>
    <w:rsid w:val="00B809B1"/>
    <w:rsid w:val="00B947E5"/>
    <w:rsid w:val="00B95A0F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4D8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21E11"/>
    <w:rsid w:val="00D22FEA"/>
    <w:rsid w:val="00D24999"/>
    <w:rsid w:val="00D333D9"/>
    <w:rsid w:val="00D41FF9"/>
    <w:rsid w:val="00D43C23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E1D33"/>
    <w:rsid w:val="00DE5B1E"/>
    <w:rsid w:val="00DF7696"/>
    <w:rsid w:val="00E05BCC"/>
    <w:rsid w:val="00E13E18"/>
    <w:rsid w:val="00E166F3"/>
    <w:rsid w:val="00E166F9"/>
    <w:rsid w:val="00E213BB"/>
    <w:rsid w:val="00E31D94"/>
    <w:rsid w:val="00E3265A"/>
    <w:rsid w:val="00E33237"/>
    <w:rsid w:val="00E36D9A"/>
    <w:rsid w:val="00E41069"/>
    <w:rsid w:val="00E4160E"/>
    <w:rsid w:val="00E42BA3"/>
    <w:rsid w:val="00E50D41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56BA"/>
    <w:rsid w:val="00EE5A5D"/>
    <w:rsid w:val="00EF5918"/>
    <w:rsid w:val="00F009FF"/>
    <w:rsid w:val="00F063D4"/>
    <w:rsid w:val="00F078B1"/>
    <w:rsid w:val="00F11D48"/>
    <w:rsid w:val="00F21AD1"/>
    <w:rsid w:val="00F31E66"/>
    <w:rsid w:val="00F36F2A"/>
    <w:rsid w:val="00F41C37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58B2-AE8B-4206-AE01-F072FBA6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 Windows</cp:lastModifiedBy>
  <cp:revision>2</cp:revision>
  <cp:lastPrinted>2020-02-28T12:20:00Z</cp:lastPrinted>
  <dcterms:created xsi:type="dcterms:W3CDTF">2020-12-07T10:50:00Z</dcterms:created>
  <dcterms:modified xsi:type="dcterms:W3CDTF">2020-12-07T10:50:00Z</dcterms:modified>
</cp:coreProperties>
</file>