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BCF" w:rsidRDefault="00836BCF" w:rsidP="00836BCF">
      <w:pPr>
        <w:jc w:val="center"/>
        <w:rPr>
          <w:b/>
        </w:rPr>
      </w:pPr>
    </w:p>
    <w:p w:rsidR="00836BCF" w:rsidRDefault="00836BCF" w:rsidP="00836BCF">
      <w:pPr>
        <w:jc w:val="center"/>
        <w:rPr>
          <w:b/>
        </w:rPr>
      </w:pPr>
      <w:r>
        <w:rPr>
          <w:noProof/>
          <w:lang w:eastAsia="it-IT"/>
        </w:rPr>
        <w:drawing>
          <wp:inline distT="0" distB="0" distL="0" distR="0">
            <wp:extent cx="3197225" cy="1812290"/>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7225" cy="1812290"/>
                    </a:xfrm>
                    <a:prstGeom prst="rect">
                      <a:avLst/>
                    </a:prstGeom>
                    <a:noFill/>
                  </pic:spPr>
                </pic:pic>
              </a:graphicData>
            </a:graphic>
          </wp:inline>
        </w:drawing>
      </w:r>
    </w:p>
    <w:p w:rsidR="00836BCF" w:rsidRDefault="00836BCF" w:rsidP="00836BCF">
      <w:pPr>
        <w:jc w:val="center"/>
        <w:rPr>
          <w:b/>
        </w:rPr>
      </w:pPr>
    </w:p>
    <w:p w:rsidR="00836BCF" w:rsidRDefault="00836BCF" w:rsidP="00836BCF">
      <w:pPr>
        <w:pStyle w:val="DefaultText"/>
      </w:pPr>
    </w:p>
    <w:p w:rsidR="00836BCF" w:rsidRDefault="00836BCF" w:rsidP="00836BCF">
      <w:pPr>
        <w:pStyle w:val="DefaultText"/>
      </w:pPr>
    </w:p>
    <w:p w:rsidR="00836BCF" w:rsidRDefault="00836BCF" w:rsidP="00836BCF">
      <w:pPr>
        <w:pStyle w:val="DefaultText"/>
      </w:pPr>
    </w:p>
    <w:p w:rsidR="00836BCF" w:rsidRDefault="00836BCF" w:rsidP="00836BCF">
      <w:pPr>
        <w:pStyle w:val="DefaultText"/>
      </w:pPr>
    </w:p>
    <w:p w:rsidR="00836BCF" w:rsidRDefault="00836BCF" w:rsidP="00836BCF">
      <w:pPr>
        <w:pStyle w:val="DefaultText"/>
      </w:pPr>
    </w:p>
    <w:p w:rsidR="00836BCF" w:rsidRDefault="00836BCF" w:rsidP="00836BCF">
      <w:pPr>
        <w:pStyle w:val="DefaultText"/>
      </w:pPr>
    </w:p>
    <w:p w:rsidR="00836BCF" w:rsidRDefault="00836BCF" w:rsidP="00836BCF">
      <w:pPr>
        <w:pStyle w:val="Titolo2"/>
      </w:pPr>
    </w:p>
    <w:bookmarkStart w:id="0" w:name="_Toc95812297"/>
    <w:bookmarkStart w:id="1" w:name="_Toc95812367"/>
    <w:bookmarkStart w:id="2" w:name="_Toc95812402"/>
    <w:bookmarkStart w:id="3" w:name="_Toc95812436"/>
    <w:bookmarkStart w:id="4" w:name="_Toc95812461"/>
    <w:bookmarkStart w:id="5" w:name="_Toc95812485"/>
    <w:bookmarkStart w:id="6" w:name="_Toc95812509"/>
    <w:bookmarkStart w:id="7" w:name="_Toc95812532"/>
    <w:bookmarkStart w:id="8" w:name="_Toc95812555"/>
    <w:bookmarkStart w:id="9" w:name="_Toc95812578"/>
    <w:bookmarkStart w:id="10" w:name="_Toc95812598"/>
    <w:bookmarkStart w:id="11" w:name="_Toc95812838"/>
    <w:bookmarkStart w:id="12" w:name="_Toc95907952"/>
    <w:bookmarkStart w:id="13" w:name="_Toc95908005"/>
    <w:bookmarkStart w:id="14" w:name="_Toc95908070"/>
    <w:bookmarkStart w:id="15" w:name="_Toc95908094"/>
    <w:bookmarkStart w:id="16" w:name="_Toc96159582"/>
    <w:bookmarkStart w:id="17" w:name="_Toc96159631"/>
    <w:bookmarkStart w:id="18" w:name="_Toc127120336"/>
    <w:bookmarkStart w:id="19" w:name="_Toc127286626"/>
    <w:bookmarkStart w:id="20" w:name="_Toc127286711"/>
    <w:bookmarkStart w:id="21" w:name="_Toc160960019"/>
    <w:bookmarkStart w:id="22" w:name="_Toc161057945"/>
    <w:bookmarkStart w:id="23" w:name="_Toc191639547"/>
    <w:bookmarkStart w:id="24" w:name="_Toc191703127"/>
    <w:bookmarkStart w:id="25" w:name="_Toc222560953"/>
    <w:bookmarkStart w:id="26" w:name="_Toc222561080"/>
    <w:bookmarkStart w:id="27" w:name="_Toc230568856"/>
    <w:bookmarkStart w:id="28" w:name="_Toc230581977"/>
    <w:bookmarkStart w:id="29" w:name="_Toc230582029"/>
    <w:bookmarkStart w:id="30" w:name="_Toc237314553"/>
    <w:bookmarkStart w:id="31" w:name="_Toc237326432"/>
    <w:bookmarkStart w:id="32" w:name="_Toc245096216"/>
    <w:bookmarkStart w:id="33" w:name="_Toc245109154"/>
    <w:bookmarkStart w:id="34" w:name="_Toc245109169"/>
    <w:bookmarkStart w:id="35" w:name="_Toc245109184"/>
    <w:bookmarkStart w:id="36" w:name="_Toc253054801"/>
    <w:bookmarkStart w:id="37" w:name="_Toc261528169"/>
    <w:p w:rsidR="00836BCF" w:rsidRDefault="00D751EE" w:rsidP="00836BCF">
      <w:pPr>
        <w:pStyle w:val="Titolo2"/>
      </w:pPr>
      <w:r>
        <w:rPr>
          <w:noProof/>
          <w:lang w:eastAsia="it-IT"/>
        </w:rPr>
        <mc:AlternateContent>
          <mc:Choice Requires="wps">
            <w:drawing>
              <wp:anchor distT="0" distB="0" distL="114300" distR="114300" simplePos="0" relativeHeight="251659264" behindDoc="0" locked="0" layoutInCell="0" allowOverlap="1" wp14:anchorId="4440E4BE" wp14:editId="08942D4F">
                <wp:simplePos x="0" y="0"/>
                <wp:positionH relativeFrom="column">
                  <wp:posOffset>321310</wp:posOffset>
                </wp:positionH>
                <wp:positionV relativeFrom="paragraph">
                  <wp:posOffset>264160</wp:posOffset>
                </wp:positionV>
                <wp:extent cx="5486400" cy="2440305"/>
                <wp:effectExtent l="0" t="0" r="19050" b="17145"/>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440305"/>
                        </a:xfrm>
                        <a:prstGeom prst="rect">
                          <a:avLst/>
                        </a:prstGeom>
                        <a:gradFill rotWithShape="0">
                          <a:gsLst>
                            <a:gs pos="0">
                              <a:srgbClr val="C0C0C0"/>
                            </a:gs>
                            <a:gs pos="100000">
                              <a:srgbClr val="C0C0C0">
                                <a:gamma/>
                                <a:tint val="0"/>
                                <a:invGamma/>
                              </a:srgbClr>
                            </a:gs>
                          </a:gsLst>
                          <a:lin ang="5400000" scaled="1"/>
                        </a:gradFill>
                        <a:ln w="9525">
                          <a:solidFill>
                            <a:srgbClr val="000000"/>
                          </a:solidFill>
                          <a:miter lim="800000"/>
                          <a:headEnd/>
                          <a:tailEnd/>
                        </a:ln>
                      </wps:spPr>
                      <wps:txbx>
                        <w:txbxContent>
                          <w:p w:rsidR="00836BCF" w:rsidRDefault="00836BCF" w:rsidP="00836BCF">
                            <w:pPr>
                              <w:jc w:val="center"/>
                              <w:rPr>
                                <w:sz w:val="28"/>
                              </w:rPr>
                            </w:pPr>
                            <w:bookmarkStart w:id="38" w:name="OLE_LINK2"/>
                          </w:p>
                          <w:bookmarkEnd w:id="38"/>
                          <w:p w:rsidR="00836BCF" w:rsidRDefault="00836BCF" w:rsidP="00D751EE">
                            <w:pPr>
                              <w:spacing w:line="360" w:lineRule="auto"/>
                              <w:jc w:val="center"/>
                              <w:rPr>
                                <w:sz w:val="40"/>
                              </w:rPr>
                            </w:pPr>
                            <w:r>
                              <w:rPr>
                                <w:sz w:val="40"/>
                              </w:rPr>
                              <w:t>Nota illustrativa</w:t>
                            </w:r>
                            <w:r w:rsidR="00D751EE">
                              <w:rPr>
                                <w:sz w:val="40"/>
                              </w:rPr>
                              <w:t xml:space="preserve"> </w:t>
                            </w:r>
                            <w:r>
                              <w:rPr>
                                <w:sz w:val="40"/>
                              </w:rPr>
                              <w:t xml:space="preserve">a corredo del </w:t>
                            </w:r>
                          </w:p>
                          <w:p w:rsidR="00836BCF" w:rsidRDefault="00836BCF" w:rsidP="00836BCF">
                            <w:pPr>
                              <w:spacing w:line="360" w:lineRule="auto"/>
                              <w:jc w:val="center"/>
                              <w:rPr>
                                <w:sz w:val="40"/>
                              </w:rPr>
                            </w:pPr>
                            <w:r>
                              <w:rPr>
                                <w:sz w:val="40"/>
                              </w:rPr>
                              <w:t>Bilancio Economico</w:t>
                            </w:r>
                            <w:r w:rsidR="00547D0C">
                              <w:rPr>
                                <w:sz w:val="40"/>
                              </w:rPr>
                              <w:t xml:space="preserve"> Preventivo</w:t>
                            </w:r>
                            <w:r>
                              <w:rPr>
                                <w:sz w:val="40"/>
                              </w:rPr>
                              <w:t xml:space="preserve"> 202</w:t>
                            </w:r>
                            <w:r w:rsidR="00526EAD">
                              <w:rPr>
                                <w:sz w:val="40"/>
                              </w:rPr>
                              <w:t>2</w:t>
                            </w:r>
                          </w:p>
                          <w:p w:rsidR="00836BCF" w:rsidRDefault="00836BCF" w:rsidP="00836BCF">
                            <w:pPr>
                              <w:spacing w:line="360" w:lineRule="auto"/>
                              <w:jc w:val="center"/>
                              <w:rPr>
                                <w:sz w:val="40"/>
                              </w:rPr>
                            </w:pPr>
                            <w:r>
                              <w:rPr>
                                <w:sz w:val="40"/>
                              </w:rPr>
                              <w:t>(art. 25 comma 3 D. Lgs. n. 118 del 23.06.2011)</w:t>
                            </w:r>
                          </w:p>
                          <w:p w:rsidR="00836BCF" w:rsidRDefault="00836BCF" w:rsidP="00836BCF">
                            <w:pPr>
                              <w:spacing w:line="36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0E4BE" id="_x0000_t202" coordsize="21600,21600" o:spt="202" path="m,l,21600r21600,l21600,xe">
                <v:stroke joinstyle="miter"/>
                <v:path gradientshapeok="t" o:connecttype="rect"/>
              </v:shapetype>
              <v:shape id="Casella di testo 1" o:spid="_x0000_s1026" type="#_x0000_t202" style="position:absolute;margin-left:25.3pt;margin-top:20.8pt;width:6in;height:19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" o:allowincell="f" fillcolor="silver">
                <v:fill focus="100%" type="gradient"/>
                <v:textbox>
                  <w:txbxContent>
                    <w:p w:rsidR="00836BCF" w:rsidRDefault="00836BCF" w:rsidP="00836BCF">
                      <w:pPr>
                        <w:jc w:val="center"/>
                        <w:rPr>
                          <w:sz w:val="28"/>
                        </w:rPr>
                      </w:pPr>
                      <w:bookmarkStart w:id="39" w:name="OLE_LINK2"/>
                    </w:p>
                    <w:bookmarkEnd w:id="39"/>
                    <w:p w:rsidR="00836BCF" w:rsidRDefault="00836BCF" w:rsidP="00D751EE">
                      <w:pPr>
                        <w:spacing w:line="360" w:lineRule="auto"/>
                        <w:jc w:val="center"/>
                        <w:rPr>
                          <w:sz w:val="40"/>
                        </w:rPr>
                      </w:pPr>
                      <w:r>
                        <w:rPr>
                          <w:sz w:val="40"/>
                        </w:rPr>
                        <w:t>Nota illustrativa</w:t>
                      </w:r>
                      <w:r w:rsidR="00D751EE">
                        <w:rPr>
                          <w:sz w:val="40"/>
                        </w:rPr>
                        <w:t xml:space="preserve"> </w:t>
                      </w:r>
                      <w:r>
                        <w:rPr>
                          <w:sz w:val="40"/>
                        </w:rPr>
                        <w:t xml:space="preserve">a corredo del </w:t>
                      </w:r>
                    </w:p>
                    <w:p w:rsidR="00836BCF" w:rsidRDefault="00836BCF" w:rsidP="00836BCF">
                      <w:pPr>
                        <w:spacing w:line="360" w:lineRule="auto"/>
                        <w:jc w:val="center"/>
                        <w:rPr>
                          <w:sz w:val="40"/>
                        </w:rPr>
                      </w:pPr>
                      <w:r>
                        <w:rPr>
                          <w:sz w:val="40"/>
                        </w:rPr>
                        <w:t>Bilancio Economico</w:t>
                      </w:r>
                      <w:r w:rsidR="00547D0C">
                        <w:rPr>
                          <w:sz w:val="40"/>
                        </w:rPr>
                        <w:t xml:space="preserve"> Preventivo</w:t>
                      </w:r>
                      <w:r>
                        <w:rPr>
                          <w:sz w:val="40"/>
                        </w:rPr>
                        <w:t xml:space="preserve"> 202</w:t>
                      </w:r>
                      <w:r w:rsidR="00526EAD">
                        <w:rPr>
                          <w:sz w:val="40"/>
                        </w:rPr>
                        <w:t>2</w:t>
                      </w:r>
                    </w:p>
                    <w:p w:rsidR="00836BCF" w:rsidRDefault="00836BCF" w:rsidP="00836BCF">
                      <w:pPr>
                        <w:spacing w:line="360" w:lineRule="auto"/>
                        <w:jc w:val="center"/>
                        <w:rPr>
                          <w:sz w:val="40"/>
                        </w:rPr>
                      </w:pPr>
                      <w:r>
                        <w:rPr>
                          <w:sz w:val="40"/>
                        </w:rPr>
                        <w:t>(art. 25 comma 3 D. Lgs. n. 118 del 23.06.2011)</w:t>
                      </w:r>
                    </w:p>
                    <w:p w:rsidR="00836BCF" w:rsidRDefault="00836BCF" w:rsidP="00836BCF">
                      <w:pPr>
                        <w:spacing w:line="360" w:lineRule="auto"/>
                        <w:jc w:val="center"/>
                      </w:pPr>
                    </w:p>
                  </w:txbxContent>
                </v:textbox>
                <w10:wrap type="square"/>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836BCF" w:rsidRDefault="00836BCF" w:rsidP="00836BCF">
      <w:pPr>
        <w:pStyle w:val="Titolo2"/>
      </w:pPr>
    </w:p>
    <w:p w:rsidR="00836BCF" w:rsidRDefault="00836BCF" w:rsidP="00836BCF">
      <w:pPr>
        <w:pStyle w:val="Titolo2"/>
      </w:pPr>
    </w:p>
    <w:p w:rsidR="00836BCF" w:rsidRPr="00F12D6B" w:rsidRDefault="00836BCF" w:rsidP="00836BCF">
      <w:pPr>
        <w:pStyle w:val="Titolo2"/>
        <w:rPr>
          <w:i/>
          <w:iCs/>
          <w:sz w:val="28"/>
          <w:szCs w:val="28"/>
        </w:rPr>
      </w:pPr>
    </w:p>
    <w:p w:rsidR="00836BCF" w:rsidRPr="00F12D6B" w:rsidRDefault="00836BCF" w:rsidP="00836BCF">
      <w:pPr>
        <w:rPr>
          <w:sz w:val="28"/>
          <w:szCs w:val="28"/>
        </w:rPr>
      </w:pPr>
    </w:p>
    <w:p w:rsidR="00836BCF" w:rsidRDefault="00836BCF" w:rsidP="00836BCF"/>
    <w:p w:rsidR="00836BCF" w:rsidRDefault="00836BCF" w:rsidP="005C44DD">
      <w:pPr>
        <w:jc w:val="center"/>
        <w:rPr>
          <w:b/>
        </w:rPr>
      </w:pPr>
    </w:p>
    <w:p w:rsidR="00836BCF" w:rsidRDefault="00836BCF" w:rsidP="005C44DD">
      <w:pPr>
        <w:jc w:val="center"/>
        <w:rPr>
          <w:b/>
        </w:rPr>
      </w:pPr>
    </w:p>
    <w:p w:rsidR="00D751EE" w:rsidRDefault="00D751EE" w:rsidP="005C44DD">
      <w:pPr>
        <w:jc w:val="center"/>
        <w:rPr>
          <w:b/>
        </w:rPr>
      </w:pPr>
    </w:p>
    <w:p w:rsidR="00836BCF" w:rsidRDefault="00836BCF" w:rsidP="005C44DD">
      <w:pPr>
        <w:jc w:val="center"/>
        <w:rPr>
          <w:b/>
        </w:rPr>
      </w:pPr>
    </w:p>
    <w:p w:rsidR="00836BCF" w:rsidRDefault="00836BCF" w:rsidP="00836BCF">
      <w:pPr>
        <w:rPr>
          <w:b/>
        </w:rPr>
      </w:pPr>
    </w:p>
    <w:p w:rsidR="00417007" w:rsidRDefault="005C44DD" w:rsidP="005C44DD">
      <w:pPr>
        <w:jc w:val="center"/>
        <w:rPr>
          <w:b/>
        </w:rPr>
      </w:pPr>
      <w:r w:rsidRPr="005C44DD">
        <w:rPr>
          <w:b/>
        </w:rPr>
        <w:lastRenderedPageBreak/>
        <w:t>NOTA ILLUSTRATIVA TECNICO-CONTABILE</w:t>
      </w:r>
    </w:p>
    <w:p w:rsidR="00DC300F" w:rsidRPr="005C44DD" w:rsidRDefault="00DC300F" w:rsidP="005C44DD">
      <w:pPr>
        <w:jc w:val="center"/>
        <w:rPr>
          <w:b/>
        </w:rPr>
      </w:pPr>
    </w:p>
    <w:p w:rsidR="005C44DD" w:rsidRDefault="005C44DD" w:rsidP="005C44DD">
      <w:pPr>
        <w:pStyle w:val="Paragrafoelenco"/>
        <w:numPr>
          <w:ilvl w:val="0"/>
          <w:numId w:val="1"/>
        </w:numPr>
      </w:pPr>
      <w:r>
        <w:t>NOTE SUI CRITERI DI REDAZIONE</w:t>
      </w:r>
    </w:p>
    <w:p w:rsidR="005C44DD" w:rsidRDefault="005C44DD" w:rsidP="00927DE9">
      <w:pPr>
        <w:ind w:left="360"/>
        <w:jc w:val="both"/>
      </w:pPr>
      <w:r>
        <w:t>Nella presente nota illustrativa, redatta ai sensi dell’art. 25, comma 3, del D.</w:t>
      </w:r>
      <w:r w:rsidR="008766FD">
        <w:t xml:space="preserve"> </w:t>
      </w:r>
      <w:r>
        <w:t>Lgs. n. 118 del 23.06.2011, vengono esplicitati i criteri impiegati nell’elaborazione del Bila</w:t>
      </w:r>
      <w:r w:rsidR="00927DE9">
        <w:t>ncio Economico Preventivo 202</w:t>
      </w:r>
      <w:r w:rsidR="00526EAD">
        <w:t>2</w:t>
      </w:r>
      <w:r w:rsidR="00927DE9">
        <w:t>.</w:t>
      </w:r>
    </w:p>
    <w:p w:rsidR="005C44DD" w:rsidRDefault="005C44DD" w:rsidP="00927DE9">
      <w:pPr>
        <w:ind w:left="360"/>
        <w:jc w:val="both"/>
        <w:rPr>
          <w:lang w:eastAsia="zh-TW" w:bidi="he-IL"/>
        </w:rPr>
      </w:pPr>
      <w:r>
        <w:t>Tale documento è stato predisposto secondo la normativa nazionale e regionale in materia di contabilità</w:t>
      </w:r>
      <w:r w:rsidR="00DC300F">
        <w:t xml:space="preserve"> e bilancio e tenendo conto delle indicazioni formulate dalla Regione Puglia</w:t>
      </w:r>
      <w:r w:rsidR="00EA46BF">
        <w:t xml:space="preserve"> - </w:t>
      </w:r>
      <w:r w:rsidR="00EA46BF">
        <w:rPr>
          <w:lang w:eastAsia="zh-TW" w:bidi="he-IL"/>
        </w:rPr>
        <w:t xml:space="preserve">sezione Amministrazione, Finanza e Controllo – Dipartimento Promozione della Salute, del Benessere Sociale e dello Sport per tutti - </w:t>
      </w:r>
      <w:r w:rsidR="00DC300F">
        <w:t xml:space="preserve"> con </w:t>
      </w:r>
      <w:r w:rsidR="00526EAD">
        <w:rPr>
          <w:lang w:eastAsia="zh-TW" w:bidi="he-IL"/>
        </w:rPr>
        <w:t>nota prot. AOO_168/4348</w:t>
      </w:r>
      <w:r w:rsidR="00B44FCB">
        <w:rPr>
          <w:lang w:eastAsia="zh-TW" w:bidi="he-IL"/>
        </w:rPr>
        <w:t xml:space="preserve"> del </w:t>
      </w:r>
      <w:r w:rsidR="00526EAD">
        <w:rPr>
          <w:lang w:eastAsia="zh-TW" w:bidi="he-IL"/>
        </w:rPr>
        <w:t>16</w:t>
      </w:r>
      <w:r w:rsidR="00B44FCB">
        <w:rPr>
          <w:lang w:eastAsia="zh-TW" w:bidi="he-IL"/>
        </w:rPr>
        <w:t>/1</w:t>
      </w:r>
      <w:r w:rsidR="00526EAD">
        <w:rPr>
          <w:lang w:eastAsia="zh-TW" w:bidi="he-IL"/>
        </w:rPr>
        <w:t>2</w:t>
      </w:r>
      <w:r w:rsidR="00B44FCB">
        <w:rPr>
          <w:lang w:eastAsia="zh-TW" w:bidi="he-IL"/>
        </w:rPr>
        <w:t>/202</w:t>
      </w:r>
      <w:r w:rsidR="001625E2">
        <w:rPr>
          <w:lang w:eastAsia="zh-TW" w:bidi="he-IL"/>
        </w:rPr>
        <w:t>1</w:t>
      </w:r>
      <w:r w:rsidR="00B44FCB">
        <w:rPr>
          <w:lang w:eastAsia="zh-TW" w:bidi="he-IL"/>
        </w:rPr>
        <w:t xml:space="preserve"> avente ad oggetto “</w:t>
      </w:r>
      <w:r w:rsidR="00446CD7" w:rsidRPr="00101640">
        <w:rPr>
          <w:lang w:eastAsia="zh-TW" w:bidi="he-IL"/>
        </w:rPr>
        <w:t>Linee operative per l’adozione</w:t>
      </w:r>
      <w:r w:rsidR="00446CD7">
        <w:rPr>
          <w:lang w:eastAsia="zh-TW" w:bidi="he-IL"/>
        </w:rPr>
        <w:t xml:space="preserve"> del Bilancio di Previsione 202</w:t>
      </w:r>
      <w:r w:rsidR="001625E2">
        <w:rPr>
          <w:lang w:eastAsia="zh-TW" w:bidi="he-IL"/>
        </w:rPr>
        <w:t>2</w:t>
      </w:r>
      <w:r w:rsidR="00EA46BF">
        <w:rPr>
          <w:lang w:eastAsia="zh-TW" w:bidi="he-IL"/>
        </w:rPr>
        <w:t>”</w:t>
      </w:r>
      <w:r w:rsidR="00927DE9">
        <w:rPr>
          <w:lang w:eastAsia="zh-TW" w:bidi="he-IL"/>
        </w:rPr>
        <w:t xml:space="preserve"> al fine di rendere il Bilancio Economico Preventivo 202</w:t>
      </w:r>
      <w:r w:rsidR="001625E2">
        <w:rPr>
          <w:lang w:eastAsia="zh-TW" w:bidi="he-IL"/>
        </w:rPr>
        <w:t>2</w:t>
      </w:r>
      <w:r w:rsidR="00927DE9">
        <w:rPr>
          <w:lang w:eastAsia="zh-TW" w:bidi="he-IL"/>
        </w:rPr>
        <w:t xml:space="preserve"> dell’ASL BAT coerente con la programmazione sanitaria ed economico-finanziaria della Regione.</w:t>
      </w:r>
    </w:p>
    <w:p w:rsidR="00927DE9" w:rsidRDefault="00927DE9" w:rsidP="00927DE9">
      <w:pPr>
        <w:ind w:left="360"/>
        <w:jc w:val="both"/>
        <w:rPr>
          <w:lang w:eastAsia="zh-TW" w:bidi="he-IL"/>
        </w:rPr>
      </w:pPr>
    </w:p>
    <w:p w:rsidR="00927DE9" w:rsidRDefault="00927DE9" w:rsidP="00927DE9">
      <w:pPr>
        <w:ind w:left="360"/>
        <w:jc w:val="both"/>
        <w:rPr>
          <w:lang w:eastAsia="zh-TW" w:bidi="he-IL"/>
        </w:rPr>
      </w:pPr>
      <w:r>
        <w:rPr>
          <w:lang w:eastAsia="zh-TW" w:bidi="he-IL"/>
        </w:rPr>
        <w:t xml:space="preserve">In particolare, si fa riferimento alle disposizioni di cui: </w:t>
      </w:r>
    </w:p>
    <w:p w:rsidR="00927DE9" w:rsidRDefault="00927DE9" w:rsidP="00927DE9">
      <w:pPr>
        <w:pStyle w:val="Paragrafoelenco"/>
        <w:numPr>
          <w:ilvl w:val="0"/>
          <w:numId w:val="2"/>
        </w:numPr>
        <w:jc w:val="both"/>
        <w:rPr>
          <w:lang w:eastAsia="zh-TW" w:bidi="he-IL"/>
        </w:rPr>
      </w:pPr>
      <w:r>
        <w:rPr>
          <w:lang w:eastAsia="zh-TW" w:bidi="he-IL"/>
        </w:rPr>
        <w:t>Al D. Lgs. N. 118 del 23/06/2011, con cui vengono approvati i principi contabili (nazionali e regionali) ed i nuovi schemi di bilancio e del Piano dei conti delle aziende sanitarie, ed alle indicazioni contenute nel Decreto Interministeriale del Ministro della Salute e del Ministero dell’Economia e delle Finanze del 17/09/2012 e s.m., che integrano il D.lgs. n. 118/2011 con alcune casistiche;</w:t>
      </w:r>
    </w:p>
    <w:p w:rsidR="00927DE9" w:rsidRDefault="00927DE9" w:rsidP="00927DE9">
      <w:pPr>
        <w:pStyle w:val="Paragrafoelenco"/>
        <w:numPr>
          <w:ilvl w:val="0"/>
          <w:numId w:val="2"/>
        </w:numPr>
        <w:jc w:val="both"/>
        <w:rPr>
          <w:lang w:eastAsia="zh-TW" w:bidi="he-IL"/>
        </w:rPr>
      </w:pPr>
      <w:r>
        <w:rPr>
          <w:lang w:eastAsia="zh-TW" w:bidi="he-IL"/>
        </w:rPr>
        <w:t>Alle disposizioni del Codice Civile;</w:t>
      </w:r>
    </w:p>
    <w:p w:rsidR="00927DE9" w:rsidRDefault="00927DE9" w:rsidP="00927DE9">
      <w:pPr>
        <w:pStyle w:val="Paragrafoelenco"/>
        <w:numPr>
          <w:ilvl w:val="0"/>
          <w:numId w:val="2"/>
        </w:numPr>
        <w:jc w:val="both"/>
        <w:rPr>
          <w:lang w:eastAsia="zh-TW" w:bidi="he-IL"/>
        </w:rPr>
      </w:pPr>
      <w:r>
        <w:rPr>
          <w:lang w:eastAsia="zh-TW" w:bidi="he-IL"/>
        </w:rPr>
        <w:t>Ai Principi Contabili Nazionali (OIC);</w:t>
      </w:r>
    </w:p>
    <w:p w:rsidR="00EC3543" w:rsidRDefault="008766FD" w:rsidP="00927DE9">
      <w:pPr>
        <w:pStyle w:val="Paragrafoelenco"/>
        <w:numPr>
          <w:ilvl w:val="0"/>
          <w:numId w:val="2"/>
        </w:numPr>
        <w:jc w:val="both"/>
        <w:rPr>
          <w:lang w:eastAsia="zh-TW" w:bidi="he-IL"/>
        </w:rPr>
      </w:pPr>
      <w:r>
        <w:rPr>
          <w:lang w:eastAsia="zh-TW" w:bidi="he-IL"/>
        </w:rPr>
        <w:t xml:space="preserve">Alla </w:t>
      </w:r>
      <w:r w:rsidR="00927DE9">
        <w:rPr>
          <w:lang w:eastAsia="zh-TW" w:bidi="he-IL"/>
        </w:rPr>
        <w:t>nota prot. n.</w:t>
      </w:r>
      <w:r w:rsidR="00F20180">
        <w:rPr>
          <w:lang w:eastAsia="zh-TW" w:bidi="he-IL"/>
        </w:rPr>
        <w:t xml:space="preserve"> </w:t>
      </w:r>
      <w:r w:rsidR="00EA46BF">
        <w:rPr>
          <w:lang w:eastAsia="zh-TW" w:bidi="he-IL"/>
        </w:rPr>
        <w:t>AOO_</w:t>
      </w:r>
      <w:r w:rsidR="001625E2">
        <w:rPr>
          <w:lang w:eastAsia="zh-TW" w:bidi="he-IL"/>
        </w:rPr>
        <w:t xml:space="preserve">168/4348 del 16/12/2021 </w:t>
      </w:r>
      <w:r w:rsidR="00F20180">
        <w:rPr>
          <w:lang w:eastAsia="zh-TW" w:bidi="he-IL"/>
        </w:rPr>
        <w:t xml:space="preserve">della sezione Amministrazione, Finanza e Controllo – Dipartimento Promozione della Salute, del Benessere Sociale e dello Sport per tutti, avente </w:t>
      </w:r>
      <w:r w:rsidR="00F20180" w:rsidRPr="00101640">
        <w:rPr>
          <w:lang w:eastAsia="zh-TW" w:bidi="he-IL"/>
        </w:rPr>
        <w:t>ad oggetto “Linee operative per l’adozione</w:t>
      </w:r>
      <w:r w:rsidR="00F20180">
        <w:rPr>
          <w:lang w:eastAsia="zh-TW" w:bidi="he-IL"/>
        </w:rPr>
        <w:t xml:space="preserve"> del Bilancio di Previsione 202</w:t>
      </w:r>
      <w:r w:rsidR="001625E2">
        <w:rPr>
          <w:lang w:eastAsia="zh-TW" w:bidi="he-IL"/>
        </w:rPr>
        <w:t>2</w:t>
      </w:r>
      <w:r w:rsidR="00F20180" w:rsidRPr="00101640">
        <w:rPr>
          <w:lang w:eastAsia="zh-TW" w:bidi="he-IL"/>
        </w:rPr>
        <w:t>”</w:t>
      </w:r>
      <w:r w:rsidR="00F20180">
        <w:rPr>
          <w:lang w:eastAsia="zh-TW" w:bidi="he-IL"/>
        </w:rPr>
        <w:t>, con la quale sono state fornite le linee guida per la predisposizione del Bilancio Economico Preventivo 202</w:t>
      </w:r>
      <w:r w:rsidR="001625E2">
        <w:rPr>
          <w:lang w:eastAsia="zh-TW" w:bidi="he-IL"/>
        </w:rPr>
        <w:t>2</w:t>
      </w:r>
      <w:r w:rsidR="00CD2B19">
        <w:rPr>
          <w:lang w:eastAsia="zh-TW" w:bidi="he-IL"/>
        </w:rPr>
        <w:t xml:space="preserve"> e </w:t>
      </w:r>
      <w:r w:rsidR="00EC3543">
        <w:rPr>
          <w:lang w:eastAsia="zh-TW" w:bidi="he-IL"/>
        </w:rPr>
        <w:t xml:space="preserve">fissato </w:t>
      </w:r>
      <w:r w:rsidR="00CD2B19">
        <w:rPr>
          <w:lang w:eastAsia="zh-TW" w:bidi="he-IL"/>
        </w:rPr>
        <w:t>al 31/12/202</w:t>
      </w:r>
      <w:r w:rsidR="001625E2">
        <w:rPr>
          <w:lang w:eastAsia="zh-TW" w:bidi="he-IL"/>
        </w:rPr>
        <w:t>1</w:t>
      </w:r>
      <w:r w:rsidR="00CD2B19">
        <w:rPr>
          <w:lang w:eastAsia="zh-TW" w:bidi="he-IL"/>
        </w:rPr>
        <w:t xml:space="preserve"> il termine per l’adozione dello stesso. </w:t>
      </w:r>
    </w:p>
    <w:p w:rsidR="00927DE9" w:rsidRDefault="00EA46BF" w:rsidP="00EC3543">
      <w:pPr>
        <w:pStyle w:val="Paragrafoelenco"/>
        <w:jc w:val="both"/>
        <w:rPr>
          <w:lang w:eastAsia="zh-TW" w:bidi="he-IL"/>
        </w:rPr>
      </w:pPr>
      <w:r>
        <w:rPr>
          <w:lang w:eastAsia="zh-TW" w:bidi="he-IL"/>
        </w:rPr>
        <w:t>In particolare con le</w:t>
      </w:r>
      <w:r w:rsidR="00F20180">
        <w:rPr>
          <w:lang w:eastAsia="zh-TW" w:bidi="he-IL"/>
        </w:rPr>
        <w:t xml:space="preserve"> suddett</w:t>
      </w:r>
      <w:r>
        <w:rPr>
          <w:lang w:eastAsia="zh-TW" w:bidi="he-IL"/>
        </w:rPr>
        <w:t>e</w:t>
      </w:r>
      <w:r w:rsidR="00F20180">
        <w:rPr>
          <w:lang w:eastAsia="zh-TW" w:bidi="he-IL"/>
        </w:rPr>
        <w:t xml:space="preserve"> not</w:t>
      </w:r>
      <w:r>
        <w:rPr>
          <w:lang w:eastAsia="zh-TW" w:bidi="he-IL"/>
        </w:rPr>
        <w:t>e</w:t>
      </w:r>
      <w:r w:rsidR="00F20180">
        <w:rPr>
          <w:lang w:eastAsia="zh-TW" w:bidi="he-IL"/>
        </w:rPr>
        <w:t xml:space="preserve"> sono state indicate:</w:t>
      </w:r>
    </w:p>
    <w:p w:rsidR="00201F14" w:rsidRDefault="00201F14" w:rsidP="00201F14">
      <w:pPr>
        <w:pStyle w:val="Paragrafoelenco"/>
        <w:numPr>
          <w:ilvl w:val="0"/>
          <w:numId w:val="3"/>
        </w:numPr>
        <w:jc w:val="both"/>
        <w:rPr>
          <w:lang w:eastAsia="zh-TW" w:bidi="he-IL"/>
        </w:rPr>
      </w:pPr>
      <w:r>
        <w:rPr>
          <w:lang w:eastAsia="zh-TW" w:bidi="he-IL"/>
        </w:rPr>
        <w:t>Le modalità di determinazione delle assegnazioni e degli ulteriori contributi aggiuntivi da iscrivere tra i ricavi;</w:t>
      </w:r>
    </w:p>
    <w:p w:rsidR="00201F14" w:rsidRDefault="00201F14" w:rsidP="00201F14">
      <w:pPr>
        <w:pStyle w:val="Paragrafoelenco"/>
        <w:numPr>
          <w:ilvl w:val="0"/>
          <w:numId w:val="3"/>
        </w:numPr>
        <w:jc w:val="both"/>
        <w:rPr>
          <w:lang w:eastAsia="zh-TW" w:bidi="he-IL"/>
        </w:rPr>
      </w:pPr>
      <w:r>
        <w:rPr>
          <w:lang w:eastAsia="zh-TW" w:bidi="he-IL"/>
        </w:rPr>
        <w:t>Le modalità di determinazione del valore della mobilità sanitaria attiva e passiva;</w:t>
      </w:r>
    </w:p>
    <w:p w:rsidR="00201F14" w:rsidRDefault="00201F14" w:rsidP="00201F14">
      <w:pPr>
        <w:pStyle w:val="Paragrafoelenco"/>
        <w:numPr>
          <w:ilvl w:val="0"/>
          <w:numId w:val="3"/>
        </w:numPr>
        <w:jc w:val="both"/>
        <w:rPr>
          <w:lang w:eastAsia="zh-TW" w:bidi="he-IL"/>
        </w:rPr>
      </w:pPr>
      <w:r>
        <w:rPr>
          <w:lang w:eastAsia="zh-TW" w:bidi="he-IL"/>
        </w:rPr>
        <w:t>I riferimenti per la formulazione delle previsioni dei costi di produzione;</w:t>
      </w:r>
    </w:p>
    <w:p w:rsidR="00201F14" w:rsidRDefault="00201F14" w:rsidP="00201F14">
      <w:pPr>
        <w:pStyle w:val="Paragrafoelenco"/>
        <w:numPr>
          <w:ilvl w:val="0"/>
          <w:numId w:val="3"/>
        </w:numPr>
        <w:jc w:val="both"/>
        <w:rPr>
          <w:lang w:eastAsia="zh-TW" w:bidi="he-IL"/>
        </w:rPr>
      </w:pPr>
      <w:r>
        <w:rPr>
          <w:lang w:eastAsia="zh-TW" w:bidi="he-IL"/>
        </w:rPr>
        <w:t>Le risorse in base alle quali formula</w:t>
      </w:r>
      <w:r w:rsidR="002F1BCD">
        <w:rPr>
          <w:lang w:eastAsia="zh-TW" w:bidi="he-IL"/>
        </w:rPr>
        <w:t>re il p</w:t>
      </w:r>
      <w:r>
        <w:rPr>
          <w:lang w:eastAsia="zh-TW" w:bidi="he-IL"/>
        </w:rPr>
        <w:t>i</w:t>
      </w:r>
      <w:r w:rsidR="002F1BCD">
        <w:rPr>
          <w:lang w:eastAsia="zh-TW" w:bidi="he-IL"/>
        </w:rPr>
        <w:t>a</w:t>
      </w:r>
      <w:r>
        <w:rPr>
          <w:lang w:eastAsia="zh-TW" w:bidi="he-IL"/>
        </w:rPr>
        <w:t>no degli investimenti.</w:t>
      </w:r>
    </w:p>
    <w:p w:rsidR="00927DE9" w:rsidRDefault="00201F14" w:rsidP="00927DE9">
      <w:pPr>
        <w:ind w:left="360"/>
        <w:jc w:val="both"/>
        <w:rPr>
          <w:lang w:eastAsia="zh-TW" w:bidi="he-IL"/>
        </w:rPr>
      </w:pPr>
      <w:r>
        <w:rPr>
          <w:lang w:eastAsia="zh-TW" w:bidi="he-IL"/>
        </w:rPr>
        <w:t>Con riferimento al piano degli investimenti si rimanda, all’apposito capitolo “Piano degli investimenti 202</w:t>
      </w:r>
      <w:r w:rsidR="001625E2">
        <w:rPr>
          <w:lang w:eastAsia="zh-TW" w:bidi="he-IL"/>
        </w:rPr>
        <w:t>2</w:t>
      </w:r>
      <w:r>
        <w:rPr>
          <w:lang w:eastAsia="zh-TW" w:bidi="he-IL"/>
        </w:rPr>
        <w:t>-202</w:t>
      </w:r>
      <w:r w:rsidR="001625E2">
        <w:rPr>
          <w:lang w:eastAsia="zh-TW" w:bidi="he-IL"/>
        </w:rPr>
        <w:t>4</w:t>
      </w:r>
      <w:r w:rsidR="00E05091">
        <w:rPr>
          <w:lang w:eastAsia="zh-TW" w:bidi="he-IL"/>
        </w:rPr>
        <w:t>”</w:t>
      </w:r>
      <w:r>
        <w:rPr>
          <w:lang w:eastAsia="zh-TW" w:bidi="he-IL"/>
        </w:rPr>
        <w:t xml:space="preserve"> allegato al Bilancio Economico Preventivo 202</w:t>
      </w:r>
      <w:r w:rsidR="001625E2">
        <w:rPr>
          <w:lang w:eastAsia="zh-TW" w:bidi="he-IL"/>
        </w:rPr>
        <w:t>2</w:t>
      </w:r>
      <w:r>
        <w:rPr>
          <w:lang w:eastAsia="zh-TW" w:bidi="he-IL"/>
        </w:rPr>
        <w:t>.</w:t>
      </w:r>
    </w:p>
    <w:p w:rsidR="00C602D1" w:rsidRDefault="00C602D1" w:rsidP="00927DE9">
      <w:pPr>
        <w:ind w:left="360"/>
        <w:jc w:val="both"/>
        <w:rPr>
          <w:lang w:eastAsia="zh-TW" w:bidi="he-IL"/>
        </w:rPr>
      </w:pPr>
    </w:p>
    <w:p w:rsidR="00C602D1" w:rsidRDefault="00C602D1" w:rsidP="00927DE9">
      <w:pPr>
        <w:ind w:left="360"/>
        <w:jc w:val="both"/>
        <w:rPr>
          <w:lang w:eastAsia="zh-TW" w:bidi="he-IL"/>
        </w:rPr>
      </w:pPr>
    </w:p>
    <w:p w:rsidR="000965DF" w:rsidRDefault="000965DF" w:rsidP="00927DE9">
      <w:pPr>
        <w:ind w:left="360"/>
        <w:jc w:val="both"/>
        <w:rPr>
          <w:lang w:eastAsia="zh-TW" w:bidi="he-IL"/>
        </w:rPr>
      </w:pPr>
    </w:p>
    <w:p w:rsidR="001625E2" w:rsidRDefault="001625E2" w:rsidP="00927DE9">
      <w:pPr>
        <w:ind w:left="360"/>
        <w:jc w:val="both"/>
        <w:rPr>
          <w:lang w:eastAsia="zh-TW" w:bidi="he-IL"/>
        </w:rPr>
      </w:pPr>
    </w:p>
    <w:p w:rsidR="00C602D1" w:rsidRDefault="00C602D1" w:rsidP="00927DE9">
      <w:pPr>
        <w:ind w:left="360"/>
        <w:jc w:val="both"/>
        <w:rPr>
          <w:lang w:eastAsia="zh-TW" w:bidi="he-IL"/>
        </w:rPr>
      </w:pPr>
    </w:p>
    <w:p w:rsidR="00EC3543" w:rsidRDefault="00EC3543" w:rsidP="00927DE9">
      <w:pPr>
        <w:ind w:left="360"/>
        <w:jc w:val="both"/>
        <w:rPr>
          <w:lang w:eastAsia="zh-TW" w:bidi="he-IL"/>
        </w:rPr>
      </w:pPr>
    </w:p>
    <w:p w:rsidR="00C602D1" w:rsidRDefault="00C602D1" w:rsidP="00927DE9">
      <w:pPr>
        <w:ind w:left="360"/>
        <w:jc w:val="both"/>
        <w:rPr>
          <w:lang w:eastAsia="zh-TW" w:bidi="he-IL"/>
        </w:rPr>
      </w:pPr>
    </w:p>
    <w:p w:rsidR="00C602D1" w:rsidRDefault="00C602D1" w:rsidP="00927DE9">
      <w:pPr>
        <w:ind w:left="360"/>
        <w:jc w:val="both"/>
        <w:rPr>
          <w:lang w:eastAsia="zh-TW" w:bidi="he-IL"/>
        </w:rPr>
      </w:pPr>
    </w:p>
    <w:p w:rsidR="00E05091" w:rsidRDefault="00E05091" w:rsidP="00927DE9">
      <w:pPr>
        <w:ind w:left="360"/>
        <w:jc w:val="both"/>
        <w:rPr>
          <w:lang w:eastAsia="zh-TW" w:bidi="he-IL"/>
        </w:rPr>
      </w:pPr>
      <w:r>
        <w:rPr>
          <w:lang w:eastAsia="zh-TW" w:bidi="he-IL"/>
        </w:rPr>
        <w:lastRenderedPageBreak/>
        <w:t>Si riporta, di seguito la sintesi del Bilancio Economico Preventivo 202</w:t>
      </w:r>
      <w:r w:rsidR="001625E2">
        <w:rPr>
          <w:lang w:eastAsia="zh-TW" w:bidi="he-IL"/>
        </w:rPr>
        <w:t>2</w:t>
      </w:r>
      <w:r>
        <w:rPr>
          <w:lang w:eastAsia="zh-TW" w:bidi="he-IL"/>
        </w:rPr>
        <w:t>.</w:t>
      </w:r>
    </w:p>
    <w:p w:rsidR="00694AA9" w:rsidRDefault="00694AA9" w:rsidP="00927DE9">
      <w:pPr>
        <w:ind w:left="360"/>
        <w:jc w:val="both"/>
        <w:rPr>
          <w:lang w:eastAsia="zh-TW" w:bidi="he-IL"/>
        </w:rPr>
      </w:pPr>
    </w:p>
    <w:p w:rsidR="00EC3543" w:rsidRDefault="00694AA9" w:rsidP="00927DE9">
      <w:pPr>
        <w:ind w:left="360"/>
        <w:jc w:val="both"/>
        <w:rPr>
          <w:lang w:eastAsia="zh-TW" w:bidi="he-IL"/>
        </w:rPr>
      </w:pPr>
      <w:r w:rsidRPr="00694AA9">
        <w:drawing>
          <wp:inline distT="0" distB="0" distL="0" distR="0">
            <wp:extent cx="6119706" cy="68199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240" cy="6822724"/>
                    </a:xfrm>
                    <a:prstGeom prst="rect">
                      <a:avLst/>
                    </a:prstGeom>
                    <a:noFill/>
                    <a:ln>
                      <a:noFill/>
                    </a:ln>
                  </pic:spPr>
                </pic:pic>
              </a:graphicData>
            </a:graphic>
          </wp:inline>
        </w:drawing>
      </w:r>
    </w:p>
    <w:p w:rsidR="00CD7968" w:rsidRPr="00CD7968" w:rsidRDefault="00CD7968" w:rsidP="00927DE9">
      <w:pPr>
        <w:ind w:left="360"/>
        <w:jc w:val="both"/>
        <w:rPr>
          <w:color w:val="000000" w:themeColor="text1"/>
          <w:lang w:eastAsia="zh-TW" w:bidi="he-IL"/>
          <w14:textOutline w14:w="9525" w14:cap="rnd" w14:cmpd="sng" w14:algn="ctr">
            <w14:solidFill>
              <w14:schemeClr w14:val="tx1"/>
            </w14:solidFill>
            <w14:prstDash w14:val="solid"/>
            <w14:bevel/>
          </w14:textOutline>
          <w14:textFill>
            <w14:solidFill>
              <w14:schemeClr w14:val="tx1">
                <w14:alpha w14:val="40000"/>
              </w14:schemeClr>
            </w14:solidFill>
          </w14:textFill>
        </w:rPr>
      </w:pPr>
    </w:p>
    <w:p w:rsidR="00E05091" w:rsidRDefault="00E05091" w:rsidP="00CD7968">
      <w:pPr>
        <w:ind w:left="284"/>
        <w:jc w:val="both"/>
        <w:rPr>
          <w:lang w:eastAsia="zh-TW" w:bidi="he-IL"/>
        </w:rPr>
      </w:pPr>
      <w:r>
        <w:rPr>
          <w:lang w:eastAsia="zh-TW" w:bidi="he-IL"/>
        </w:rPr>
        <w:t>La tabella sopra riportata evidenzia i valori economici previsti per l’esercizio 202</w:t>
      </w:r>
      <w:r w:rsidR="000965DF">
        <w:rPr>
          <w:lang w:eastAsia="zh-TW" w:bidi="he-IL"/>
        </w:rPr>
        <w:t>2</w:t>
      </w:r>
      <w:r>
        <w:rPr>
          <w:lang w:eastAsia="zh-TW" w:bidi="he-IL"/>
        </w:rPr>
        <w:t>, con</w:t>
      </w:r>
      <w:r w:rsidR="00EC3543">
        <w:rPr>
          <w:lang w:eastAsia="zh-TW" w:bidi="he-IL"/>
        </w:rPr>
        <w:t xml:space="preserve">frontati con quelli di cui al </w:t>
      </w:r>
      <w:r w:rsidR="000965DF">
        <w:rPr>
          <w:lang w:eastAsia="zh-TW" w:bidi="he-IL"/>
        </w:rPr>
        <w:t>c</w:t>
      </w:r>
      <w:r>
        <w:rPr>
          <w:lang w:eastAsia="zh-TW" w:bidi="he-IL"/>
        </w:rPr>
        <w:t>onsuntivo 20</w:t>
      </w:r>
      <w:r w:rsidR="000965DF">
        <w:rPr>
          <w:lang w:eastAsia="zh-TW" w:bidi="he-IL"/>
        </w:rPr>
        <w:t>2</w:t>
      </w:r>
      <w:r w:rsidR="00694AA9">
        <w:rPr>
          <w:lang w:eastAsia="zh-TW" w:bidi="he-IL"/>
        </w:rPr>
        <w:t>0</w:t>
      </w:r>
      <w:r>
        <w:rPr>
          <w:lang w:eastAsia="zh-TW" w:bidi="he-IL"/>
        </w:rPr>
        <w:t>.</w:t>
      </w:r>
    </w:p>
    <w:p w:rsidR="00E05091" w:rsidRDefault="00E05091" w:rsidP="00927DE9">
      <w:pPr>
        <w:ind w:left="360"/>
        <w:jc w:val="both"/>
        <w:rPr>
          <w:lang w:eastAsia="zh-TW" w:bidi="he-IL"/>
        </w:rPr>
      </w:pPr>
    </w:p>
    <w:p w:rsidR="00E05091" w:rsidRDefault="00E05091" w:rsidP="00927DE9">
      <w:pPr>
        <w:ind w:left="360"/>
        <w:jc w:val="both"/>
        <w:rPr>
          <w:lang w:eastAsia="zh-TW" w:bidi="he-IL"/>
        </w:rPr>
      </w:pPr>
      <w:r>
        <w:rPr>
          <w:lang w:eastAsia="zh-TW" w:bidi="he-IL"/>
        </w:rPr>
        <w:t>Dalla lettura della suddetta tabella, si evince, in estrema sintesi, che il risultato previsto per il 202</w:t>
      </w:r>
      <w:r w:rsidR="00694AA9">
        <w:rPr>
          <w:lang w:eastAsia="zh-TW" w:bidi="he-IL"/>
        </w:rPr>
        <w:t>2 sarà determinato da un minor</w:t>
      </w:r>
      <w:r>
        <w:rPr>
          <w:lang w:eastAsia="zh-TW" w:bidi="he-IL"/>
        </w:rPr>
        <w:t xml:space="preserve"> valore della produzione, per effetto delle m</w:t>
      </w:r>
      <w:r w:rsidR="00694AA9">
        <w:rPr>
          <w:lang w:eastAsia="zh-TW" w:bidi="he-IL"/>
        </w:rPr>
        <w:t>inori</w:t>
      </w:r>
      <w:r>
        <w:rPr>
          <w:lang w:eastAsia="zh-TW" w:bidi="he-IL"/>
        </w:rPr>
        <w:t xml:space="preserve"> assegnazioni regionali. Tali </w:t>
      </w:r>
      <w:r>
        <w:rPr>
          <w:lang w:eastAsia="zh-TW" w:bidi="he-IL"/>
        </w:rPr>
        <w:lastRenderedPageBreak/>
        <w:t xml:space="preserve">risorse </w:t>
      </w:r>
      <w:r w:rsidR="00EC3543">
        <w:rPr>
          <w:lang w:eastAsia="zh-TW" w:bidi="he-IL"/>
        </w:rPr>
        <w:t>sono state calcolate per il 202</w:t>
      </w:r>
      <w:r w:rsidR="00694AA9">
        <w:rPr>
          <w:lang w:eastAsia="zh-TW" w:bidi="he-IL"/>
        </w:rPr>
        <w:t>2</w:t>
      </w:r>
      <w:r>
        <w:rPr>
          <w:lang w:eastAsia="zh-TW" w:bidi="he-IL"/>
        </w:rPr>
        <w:t xml:space="preserve"> sulla base delle indicazioni </w:t>
      </w:r>
      <w:r w:rsidR="00303411">
        <w:rPr>
          <w:lang w:eastAsia="zh-TW" w:bidi="he-IL"/>
        </w:rPr>
        <w:t xml:space="preserve">fornite dalla Regione Puglia con nota prot. </w:t>
      </w:r>
      <w:r w:rsidR="00C30AAA">
        <w:rPr>
          <w:lang w:eastAsia="zh-TW" w:bidi="he-IL"/>
        </w:rPr>
        <w:t xml:space="preserve">n. </w:t>
      </w:r>
      <w:r w:rsidR="000965DF">
        <w:rPr>
          <w:lang w:eastAsia="zh-TW" w:bidi="he-IL"/>
        </w:rPr>
        <w:t>AOO_168/4348 del 16/12/2021.</w:t>
      </w:r>
    </w:p>
    <w:p w:rsidR="00303411" w:rsidRDefault="00303411" w:rsidP="00927DE9">
      <w:pPr>
        <w:ind w:left="360"/>
        <w:jc w:val="both"/>
        <w:rPr>
          <w:lang w:eastAsia="zh-TW" w:bidi="he-IL"/>
        </w:rPr>
      </w:pPr>
      <w:r>
        <w:rPr>
          <w:lang w:eastAsia="zh-TW" w:bidi="he-IL"/>
        </w:rPr>
        <w:t>Di seguito sono quindi riepilogati i valori provvisori dell’assegnazione dell’anno 202</w:t>
      </w:r>
      <w:r w:rsidR="000965DF">
        <w:rPr>
          <w:lang w:eastAsia="zh-TW" w:bidi="he-IL"/>
        </w:rPr>
        <w:t>2</w:t>
      </w:r>
      <w:r w:rsidR="00EC3543">
        <w:rPr>
          <w:lang w:eastAsia="zh-TW" w:bidi="he-IL"/>
        </w:rPr>
        <w:t>, confrontati con quelli del C</w:t>
      </w:r>
      <w:r>
        <w:rPr>
          <w:lang w:eastAsia="zh-TW" w:bidi="he-IL"/>
        </w:rPr>
        <w:t>onsuntivo 20</w:t>
      </w:r>
      <w:r w:rsidR="000965DF">
        <w:rPr>
          <w:lang w:eastAsia="zh-TW" w:bidi="he-IL"/>
        </w:rPr>
        <w:t>2</w:t>
      </w:r>
      <w:r w:rsidR="00694AA9">
        <w:rPr>
          <w:lang w:eastAsia="zh-TW" w:bidi="he-IL"/>
        </w:rPr>
        <w:t>0</w:t>
      </w:r>
      <w:r>
        <w:rPr>
          <w:lang w:eastAsia="zh-TW" w:bidi="he-IL"/>
        </w:rPr>
        <w:t>.</w:t>
      </w:r>
    </w:p>
    <w:p w:rsidR="00F321C5" w:rsidRPr="00F97D54" w:rsidRDefault="00F321C5" w:rsidP="00927DE9">
      <w:pPr>
        <w:ind w:left="360"/>
        <w:jc w:val="both"/>
        <w:rPr>
          <w:sz w:val="2"/>
          <w:szCs w:val="2"/>
          <w:lang w:eastAsia="zh-TW" w:bidi="he-IL"/>
        </w:rPr>
      </w:pPr>
    </w:p>
    <w:p w:rsidR="00EC3543" w:rsidRDefault="00694AA9" w:rsidP="00927DE9">
      <w:pPr>
        <w:ind w:left="360"/>
        <w:jc w:val="both"/>
        <w:rPr>
          <w:lang w:eastAsia="zh-TW" w:bidi="he-IL"/>
        </w:rPr>
      </w:pPr>
      <w:r w:rsidRPr="00694AA9">
        <w:drawing>
          <wp:inline distT="0" distB="0" distL="0" distR="0">
            <wp:extent cx="6120130" cy="2218652"/>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218652"/>
                    </a:xfrm>
                    <a:prstGeom prst="rect">
                      <a:avLst/>
                    </a:prstGeom>
                    <a:noFill/>
                    <a:ln>
                      <a:noFill/>
                    </a:ln>
                  </pic:spPr>
                </pic:pic>
              </a:graphicData>
            </a:graphic>
          </wp:inline>
        </w:drawing>
      </w:r>
    </w:p>
    <w:p w:rsidR="00F321C5" w:rsidRPr="00F97D54" w:rsidRDefault="00F321C5" w:rsidP="00927DE9">
      <w:pPr>
        <w:ind w:left="360"/>
        <w:jc w:val="both"/>
        <w:rPr>
          <w:sz w:val="2"/>
          <w:szCs w:val="2"/>
          <w:lang w:eastAsia="zh-TW" w:bidi="he-IL"/>
        </w:rPr>
      </w:pPr>
    </w:p>
    <w:p w:rsidR="00303411" w:rsidRDefault="00303411" w:rsidP="00927DE9">
      <w:pPr>
        <w:ind w:left="360"/>
        <w:jc w:val="both"/>
        <w:rPr>
          <w:lang w:eastAsia="zh-TW" w:bidi="he-IL"/>
        </w:rPr>
      </w:pPr>
      <w:r>
        <w:rPr>
          <w:lang w:eastAsia="zh-TW" w:bidi="he-IL"/>
        </w:rPr>
        <w:t>Le suddette</w:t>
      </w:r>
      <w:r w:rsidR="00694AA9">
        <w:rPr>
          <w:lang w:eastAsia="zh-TW" w:bidi="he-IL"/>
        </w:rPr>
        <w:t xml:space="preserve"> minori</w:t>
      </w:r>
      <w:r>
        <w:rPr>
          <w:lang w:eastAsia="zh-TW" w:bidi="he-IL"/>
        </w:rPr>
        <w:t xml:space="preserve"> risorse, unitamente ai programmati interventi sui costi indicati dalla Regione Puglia nella nota sopra richiamata, consentono la redazione di un Bilancio Economico Preventivo con un risultato “a pareggio”</w:t>
      </w:r>
      <w:r w:rsidR="00694AA9">
        <w:rPr>
          <w:lang w:eastAsia="zh-TW" w:bidi="he-IL"/>
        </w:rPr>
        <w:t xml:space="preserve"> solo se i costi relativi all’emergenza Covid troveranno copertura con finanziamenti regionali o statali</w:t>
      </w:r>
      <w:r>
        <w:rPr>
          <w:lang w:eastAsia="zh-TW" w:bidi="he-IL"/>
        </w:rPr>
        <w:t>. Pertanto la gestione economico-finanziaria dell’esercizio 202</w:t>
      </w:r>
      <w:r w:rsidR="00694AA9">
        <w:rPr>
          <w:lang w:eastAsia="zh-TW" w:bidi="he-IL"/>
        </w:rPr>
        <w:t>2</w:t>
      </w:r>
      <w:r>
        <w:rPr>
          <w:lang w:eastAsia="zh-TW" w:bidi="he-IL"/>
        </w:rPr>
        <w:t xml:space="preserve"> sarà determinata dalle m</w:t>
      </w:r>
      <w:r w:rsidR="00694AA9">
        <w:rPr>
          <w:lang w:eastAsia="zh-TW" w:bidi="he-IL"/>
        </w:rPr>
        <w:t>in</w:t>
      </w:r>
      <w:r>
        <w:rPr>
          <w:lang w:eastAsia="zh-TW" w:bidi="he-IL"/>
        </w:rPr>
        <w:t xml:space="preserve">ori risorse regionali e </w:t>
      </w:r>
      <w:r w:rsidR="00F97D54">
        <w:rPr>
          <w:lang w:eastAsia="zh-TW" w:bidi="he-IL"/>
        </w:rPr>
        <w:t>dai maggiori costi per l’acquisto di beni</w:t>
      </w:r>
      <w:r w:rsidR="00526AC6">
        <w:rPr>
          <w:lang w:eastAsia="zh-TW" w:bidi="he-IL"/>
        </w:rPr>
        <w:t>, compensati da una riduzione dei costi per mobilità passiva</w:t>
      </w:r>
      <w:r w:rsidR="00694AA9">
        <w:rPr>
          <w:lang w:eastAsia="zh-TW" w:bidi="he-IL"/>
        </w:rPr>
        <w:t xml:space="preserve"> interregionale</w:t>
      </w:r>
      <w:r w:rsidR="00C30AAA">
        <w:rPr>
          <w:lang w:eastAsia="zh-TW" w:bidi="he-IL"/>
        </w:rPr>
        <w:t xml:space="preserve">. </w:t>
      </w:r>
      <w:r>
        <w:rPr>
          <w:lang w:eastAsia="zh-TW" w:bidi="he-IL"/>
        </w:rPr>
        <w:t>Il 202</w:t>
      </w:r>
      <w:r w:rsidR="00694AA9">
        <w:rPr>
          <w:lang w:eastAsia="zh-TW" w:bidi="he-IL"/>
        </w:rPr>
        <w:t>2</w:t>
      </w:r>
      <w:r>
        <w:rPr>
          <w:lang w:eastAsia="zh-TW" w:bidi="he-IL"/>
        </w:rPr>
        <w:t xml:space="preserve"> sarà anche caratterizzato da maggiori costi per personal</w:t>
      </w:r>
      <w:r w:rsidR="008766FD">
        <w:rPr>
          <w:lang w:eastAsia="zh-TW" w:bidi="he-IL"/>
        </w:rPr>
        <w:t>e</w:t>
      </w:r>
      <w:r>
        <w:rPr>
          <w:lang w:eastAsia="zh-TW" w:bidi="he-IL"/>
        </w:rPr>
        <w:t xml:space="preserve"> dipendente per effetto delle nuove assunzioni</w:t>
      </w:r>
      <w:r w:rsidR="00694AA9">
        <w:rPr>
          <w:lang w:eastAsia="zh-TW" w:bidi="he-IL"/>
        </w:rPr>
        <w:t>,</w:t>
      </w:r>
      <w:r>
        <w:rPr>
          <w:lang w:eastAsia="zh-TW" w:bidi="he-IL"/>
        </w:rPr>
        <w:t xml:space="preserve"> già previste nel Piano del fabbisogno, che l’ASL BT p</w:t>
      </w:r>
      <w:r w:rsidR="008617BA">
        <w:rPr>
          <w:lang w:eastAsia="zh-TW" w:bidi="he-IL"/>
        </w:rPr>
        <w:t xml:space="preserve">rovvederà ad effettuare </w:t>
      </w:r>
      <w:r>
        <w:rPr>
          <w:lang w:eastAsia="zh-TW" w:bidi="he-IL"/>
        </w:rPr>
        <w:t>nel rispetto dei vincoli di natura finanziaria imposti dal legislatore nazionale e finalizzati alla razionalizzazione e al contenimento della spesa del personale delle Pubbliche Amministrazioni.</w:t>
      </w:r>
    </w:p>
    <w:p w:rsidR="002F1BCD" w:rsidRDefault="00694AA9" w:rsidP="00927DE9">
      <w:pPr>
        <w:ind w:left="360"/>
        <w:jc w:val="both"/>
        <w:rPr>
          <w:lang w:eastAsia="zh-TW" w:bidi="he-IL"/>
        </w:rPr>
      </w:pPr>
      <w:r>
        <w:rPr>
          <w:lang w:eastAsia="zh-TW" w:bidi="he-IL"/>
        </w:rPr>
        <w:t>Il 2022</w:t>
      </w:r>
      <w:r w:rsidR="002F1BCD">
        <w:rPr>
          <w:lang w:eastAsia="zh-TW" w:bidi="he-IL"/>
        </w:rPr>
        <w:t xml:space="preserve"> risente ancora dei maggiori costi dovuti alla necessità di affrontare la pandemia dovuta al diffondersi del Covid-19. Per far fronte a tale emergenza, oltre a maggiori costi per farmaci, reagenti e materiale diagnostico, sono da evidenziare i maggiori costi per il personale. Sarà infatti necessario continuare a potenziare il numero di personale sanitario sia nei presidi ospedalieri, sia sul territorio, in particolare nel dipartimento di prevenzione al fine di garantire la vaccinazione della popolazione secondo il piano vaccinale nazionale e regionale. Tali costi, tuttavia, non impatt</w:t>
      </w:r>
      <w:r>
        <w:rPr>
          <w:lang w:eastAsia="zh-TW" w:bidi="he-IL"/>
        </w:rPr>
        <w:t>eranno</w:t>
      </w:r>
      <w:r w:rsidR="002F1BCD">
        <w:rPr>
          <w:lang w:eastAsia="zh-TW" w:bidi="he-IL"/>
        </w:rPr>
        <w:t xml:space="preserve"> sul risultato economico aziendale </w:t>
      </w:r>
      <w:r>
        <w:rPr>
          <w:lang w:eastAsia="zh-TW" w:bidi="he-IL"/>
        </w:rPr>
        <w:t>solo se troveranno adeguata</w:t>
      </w:r>
      <w:r w:rsidR="002F1BCD">
        <w:rPr>
          <w:lang w:eastAsia="zh-TW" w:bidi="he-IL"/>
        </w:rPr>
        <w:t xml:space="preserve"> copert</w:t>
      </w:r>
      <w:r>
        <w:rPr>
          <w:lang w:eastAsia="zh-TW" w:bidi="he-IL"/>
        </w:rPr>
        <w:t>ura</w:t>
      </w:r>
      <w:r w:rsidR="002F1BCD">
        <w:rPr>
          <w:lang w:eastAsia="zh-TW" w:bidi="he-IL"/>
        </w:rPr>
        <w:t xml:space="preserve"> con maggiori risorse regionali</w:t>
      </w:r>
      <w:r>
        <w:rPr>
          <w:lang w:eastAsia="zh-TW" w:bidi="he-IL"/>
        </w:rPr>
        <w:t xml:space="preserve"> o statali</w:t>
      </w:r>
      <w:r w:rsidR="002F1BCD">
        <w:rPr>
          <w:lang w:eastAsia="zh-TW" w:bidi="he-IL"/>
        </w:rPr>
        <w:t xml:space="preserve">. </w:t>
      </w:r>
    </w:p>
    <w:p w:rsidR="00303411" w:rsidRDefault="00303411" w:rsidP="00927DE9">
      <w:pPr>
        <w:ind w:left="360"/>
        <w:jc w:val="both"/>
        <w:rPr>
          <w:lang w:eastAsia="zh-TW" w:bidi="he-IL"/>
        </w:rPr>
      </w:pPr>
      <w:r>
        <w:rPr>
          <w:lang w:eastAsia="zh-TW" w:bidi="he-IL"/>
        </w:rPr>
        <w:t>In tal modo questa Azienda potrà erogare i servizi sanitari richiesti dall’utenza, nei limiti dei Livelli Essenziali di Assistenza e delle disposizioni normative vigenti.</w:t>
      </w:r>
      <w:bookmarkStart w:id="39" w:name="_GoBack"/>
      <w:bookmarkEnd w:id="39"/>
    </w:p>
    <w:p w:rsidR="00303411" w:rsidRDefault="00303411" w:rsidP="00927DE9">
      <w:pPr>
        <w:ind w:left="360"/>
        <w:jc w:val="both"/>
        <w:rPr>
          <w:lang w:eastAsia="zh-TW" w:bidi="he-IL"/>
        </w:rPr>
      </w:pPr>
    </w:p>
    <w:p w:rsidR="00303411" w:rsidRDefault="00303411" w:rsidP="00927DE9">
      <w:pPr>
        <w:ind w:left="360"/>
        <w:jc w:val="both"/>
        <w:rPr>
          <w:lang w:eastAsia="zh-TW" w:bidi="he-IL"/>
        </w:rPr>
      </w:pPr>
      <w:r>
        <w:rPr>
          <w:lang w:eastAsia="zh-TW" w:bidi="he-IL"/>
        </w:rPr>
        <w:t xml:space="preserve">                                                                                                                       IL </w:t>
      </w:r>
      <w:r w:rsidR="000965DF">
        <w:rPr>
          <w:lang w:eastAsia="zh-TW" w:bidi="he-IL"/>
        </w:rPr>
        <w:t>COMMISSARIO STRAORDINARIO</w:t>
      </w:r>
    </w:p>
    <w:p w:rsidR="00303411" w:rsidRDefault="00303411" w:rsidP="00927DE9">
      <w:pPr>
        <w:ind w:left="360"/>
        <w:jc w:val="both"/>
        <w:rPr>
          <w:lang w:eastAsia="zh-TW" w:bidi="he-IL"/>
        </w:rPr>
      </w:pPr>
      <w:r>
        <w:rPr>
          <w:lang w:eastAsia="zh-TW" w:bidi="he-IL"/>
        </w:rPr>
        <w:t xml:space="preserve">                                                                                                                </w:t>
      </w:r>
      <w:r w:rsidR="000965DF">
        <w:rPr>
          <w:lang w:eastAsia="zh-TW" w:bidi="he-IL"/>
        </w:rPr>
        <w:t xml:space="preserve">          </w:t>
      </w:r>
      <w:r>
        <w:rPr>
          <w:lang w:eastAsia="zh-TW" w:bidi="he-IL"/>
        </w:rPr>
        <w:t xml:space="preserve">  (Avv. Alessandro delle Donne)</w:t>
      </w:r>
    </w:p>
    <w:sectPr w:rsidR="00303411" w:rsidSect="00E025ED">
      <w:footerReference w:type="default" r:id="rId11"/>
      <w:pgSz w:w="11906" w:h="16838"/>
      <w:pgMar w:top="1417" w:right="1134" w:bottom="1134" w:left="1134"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6AC" w:rsidRDefault="007A36AC" w:rsidP="00E025ED">
      <w:pPr>
        <w:spacing w:after="0" w:line="240" w:lineRule="auto"/>
      </w:pPr>
      <w:r>
        <w:separator/>
      </w:r>
    </w:p>
  </w:endnote>
  <w:endnote w:type="continuationSeparator" w:id="0">
    <w:p w:rsidR="007A36AC" w:rsidRDefault="007A36AC" w:rsidP="00E0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074" w:rsidRPr="003D7582" w:rsidRDefault="00456074">
    <w:pPr>
      <w:pStyle w:val="Pidipagina"/>
      <w:jc w:val="right"/>
      <w:rPr>
        <w:sz w:val="20"/>
      </w:rPr>
    </w:pPr>
    <w:r w:rsidRPr="003D7582">
      <w:rPr>
        <w:sz w:val="20"/>
      </w:rPr>
      <w:t xml:space="preserve"> </w:t>
    </w:r>
    <w:sdt>
      <w:sdtPr>
        <w:rPr>
          <w:sz w:val="20"/>
        </w:rPr>
        <w:id w:val="-1791736601"/>
        <w:docPartObj>
          <w:docPartGallery w:val="Page Numbers (Bottom of Page)"/>
          <w:docPartUnique/>
        </w:docPartObj>
      </w:sdtPr>
      <w:sdtEndPr/>
      <w:sdtContent>
        <w:r w:rsidRPr="003D7582">
          <w:rPr>
            <w:sz w:val="20"/>
          </w:rPr>
          <w:fldChar w:fldCharType="begin"/>
        </w:r>
        <w:r w:rsidRPr="003D7582">
          <w:rPr>
            <w:sz w:val="20"/>
          </w:rPr>
          <w:instrText>PAGE   \* MERGEFORMAT</w:instrText>
        </w:r>
        <w:r w:rsidRPr="003D7582">
          <w:rPr>
            <w:sz w:val="20"/>
          </w:rPr>
          <w:fldChar w:fldCharType="separate"/>
        </w:r>
        <w:r w:rsidR="000D1359">
          <w:rPr>
            <w:noProof/>
            <w:sz w:val="20"/>
          </w:rPr>
          <w:t>- 2 -</w:t>
        </w:r>
        <w:r w:rsidRPr="003D7582">
          <w:rPr>
            <w:sz w:val="20"/>
          </w:rPr>
          <w:fldChar w:fldCharType="end"/>
        </w:r>
      </w:sdtContent>
    </w:sdt>
  </w:p>
  <w:p w:rsidR="00E025ED" w:rsidRPr="003D7582" w:rsidRDefault="00456074" w:rsidP="00456074">
    <w:pPr>
      <w:pStyle w:val="Pidipagina"/>
      <w:rPr>
        <w:sz w:val="18"/>
      </w:rPr>
    </w:pPr>
    <w:r w:rsidRPr="003D7582">
      <w:rPr>
        <w:sz w:val="18"/>
      </w:rPr>
      <w:t>ASL BT Nota illustrativa Bilancio Economico Preventivo 202</w:t>
    </w:r>
    <w:r w:rsidR="00526EAD">
      <w:rPr>
        <w:sz w:val="18"/>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6AC" w:rsidRDefault="007A36AC" w:rsidP="00E025ED">
      <w:pPr>
        <w:spacing w:after="0" w:line="240" w:lineRule="auto"/>
      </w:pPr>
      <w:r>
        <w:separator/>
      </w:r>
    </w:p>
  </w:footnote>
  <w:footnote w:type="continuationSeparator" w:id="0">
    <w:p w:rsidR="007A36AC" w:rsidRDefault="007A36AC" w:rsidP="00E02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E737E"/>
    <w:multiLevelType w:val="hybridMultilevel"/>
    <w:tmpl w:val="9FD8CBF8"/>
    <w:lvl w:ilvl="0" w:tplc="4CDE63E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BC580B"/>
    <w:multiLevelType w:val="hybridMultilevel"/>
    <w:tmpl w:val="CF3A9B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744D0818"/>
    <w:multiLevelType w:val="hybridMultilevel"/>
    <w:tmpl w:val="609245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DD"/>
    <w:rsid w:val="000965DF"/>
    <w:rsid w:val="000A094D"/>
    <w:rsid w:val="000D1359"/>
    <w:rsid w:val="000D7A82"/>
    <w:rsid w:val="001625E2"/>
    <w:rsid w:val="001D40DB"/>
    <w:rsid w:val="00201F14"/>
    <w:rsid w:val="00201FEB"/>
    <w:rsid w:val="002F1BCD"/>
    <w:rsid w:val="00303411"/>
    <w:rsid w:val="003D7582"/>
    <w:rsid w:val="00417007"/>
    <w:rsid w:val="00446CD7"/>
    <w:rsid w:val="00456074"/>
    <w:rsid w:val="00526AC6"/>
    <w:rsid w:val="00526EAD"/>
    <w:rsid w:val="00547D0C"/>
    <w:rsid w:val="005C44DD"/>
    <w:rsid w:val="005D02C4"/>
    <w:rsid w:val="00694AA9"/>
    <w:rsid w:val="007250AE"/>
    <w:rsid w:val="007A36AC"/>
    <w:rsid w:val="00836BCF"/>
    <w:rsid w:val="008617BA"/>
    <w:rsid w:val="008766FD"/>
    <w:rsid w:val="009231A5"/>
    <w:rsid w:val="00927DE9"/>
    <w:rsid w:val="00A116AB"/>
    <w:rsid w:val="00A14BC5"/>
    <w:rsid w:val="00A63E3E"/>
    <w:rsid w:val="00B44FCB"/>
    <w:rsid w:val="00B8454F"/>
    <w:rsid w:val="00C30AAA"/>
    <w:rsid w:val="00C602D1"/>
    <w:rsid w:val="00CA179A"/>
    <w:rsid w:val="00CD2B19"/>
    <w:rsid w:val="00CD7968"/>
    <w:rsid w:val="00D751EE"/>
    <w:rsid w:val="00DC300F"/>
    <w:rsid w:val="00DD3B7B"/>
    <w:rsid w:val="00E025ED"/>
    <w:rsid w:val="00E05091"/>
    <w:rsid w:val="00EA46BF"/>
    <w:rsid w:val="00EC3543"/>
    <w:rsid w:val="00EC761D"/>
    <w:rsid w:val="00EF58F3"/>
    <w:rsid w:val="00F20180"/>
    <w:rsid w:val="00F321C5"/>
    <w:rsid w:val="00F97D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B1BEB"/>
  <w15:docId w15:val="{1A006DB7-708A-4B6F-86D6-1967143D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qFormat/>
    <w:rsid w:val="00836BCF"/>
    <w:pPr>
      <w:keepNext/>
      <w:spacing w:after="0" w:line="240" w:lineRule="auto"/>
      <w:outlineLvl w:val="1"/>
    </w:pPr>
    <w:rPr>
      <w:rFonts w:ascii="Times New Roman" w:eastAsia="Times New Roman" w:hAnsi="Times New Roman" w:cs="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C44DD"/>
    <w:pPr>
      <w:ind w:left="720"/>
      <w:contextualSpacing/>
    </w:pPr>
  </w:style>
  <w:style w:type="character" w:customStyle="1" w:styleId="Titolo2Carattere">
    <w:name w:val="Titolo 2 Carattere"/>
    <w:basedOn w:val="Carpredefinitoparagrafo"/>
    <w:link w:val="Titolo2"/>
    <w:rsid w:val="00836BCF"/>
    <w:rPr>
      <w:rFonts w:ascii="Times New Roman" w:eastAsia="Times New Roman" w:hAnsi="Times New Roman" w:cs="Times New Roman"/>
      <w:b/>
      <w:sz w:val="24"/>
      <w:szCs w:val="20"/>
    </w:rPr>
  </w:style>
  <w:style w:type="paragraph" w:customStyle="1" w:styleId="DefaultText">
    <w:name w:val="Default Text"/>
    <w:basedOn w:val="Normale"/>
    <w:rsid w:val="00836BCF"/>
    <w:pPr>
      <w:spacing w:after="0" w:line="240" w:lineRule="auto"/>
    </w:pPr>
    <w:rPr>
      <w:rFonts w:ascii="Times New Roman" w:eastAsia="Times New Roman" w:hAnsi="Times New Roman" w:cs="Times New Roman"/>
      <w:sz w:val="24"/>
      <w:szCs w:val="20"/>
    </w:rPr>
  </w:style>
  <w:style w:type="paragraph" w:styleId="Intestazione">
    <w:name w:val="header"/>
    <w:basedOn w:val="Normale"/>
    <w:link w:val="IntestazioneCarattere"/>
    <w:uiPriority w:val="99"/>
    <w:unhideWhenUsed/>
    <w:rsid w:val="00E025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25ED"/>
  </w:style>
  <w:style w:type="paragraph" w:styleId="Pidipagina">
    <w:name w:val="footer"/>
    <w:basedOn w:val="Normale"/>
    <w:link w:val="PidipaginaCarattere"/>
    <w:uiPriority w:val="99"/>
    <w:unhideWhenUsed/>
    <w:rsid w:val="00E025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25ED"/>
  </w:style>
  <w:style w:type="paragraph" w:styleId="Testofumetto">
    <w:name w:val="Balloon Text"/>
    <w:basedOn w:val="Normale"/>
    <w:link w:val="TestofumettoCarattere"/>
    <w:uiPriority w:val="99"/>
    <w:semiHidden/>
    <w:unhideWhenUsed/>
    <w:rsid w:val="002F1BC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1B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8B71F-8BFF-4DC9-B2FB-264376A8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Solito</dc:creator>
  <cp:lastModifiedBy>Sonia Pirelli</cp:lastModifiedBy>
  <cp:revision>2</cp:revision>
  <cp:lastPrinted>2021-12-30T17:59:00Z</cp:lastPrinted>
  <dcterms:created xsi:type="dcterms:W3CDTF">2021-12-30T18:01:00Z</dcterms:created>
  <dcterms:modified xsi:type="dcterms:W3CDTF">2021-12-30T18:01:00Z</dcterms:modified>
</cp:coreProperties>
</file>