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4A" w:rsidRDefault="00AD064A" w:rsidP="007E4839">
      <w:pPr>
        <w:jc w:val="right"/>
        <w:rPr>
          <w:rFonts w:ascii="Times New Roman" w:hAnsi="Times New Roman"/>
          <w:bCs/>
          <w:noProof/>
          <w:sz w:val="24"/>
          <w:szCs w:val="24"/>
        </w:rPr>
      </w:pPr>
    </w:p>
    <w:p w:rsidR="007E4839" w:rsidRDefault="007E4839" w:rsidP="007E4839">
      <w:pPr>
        <w:jc w:val="righ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Al Capo di Gabinetto</w:t>
      </w:r>
    </w:p>
    <w:p w:rsidR="007E4839" w:rsidRDefault="007E4839" w:rsidP="007E4839">
      <w:pPr>
        <w:jc w:val="righ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Al Segretario Generale</w:t>
      </w:r>
    </w:p>
    <w:p w:rsidR="003E51FF" w:rsidRDefault="003E51FF" w:rsidP="003E51FF">
      <w:pPr>
        <w:jc w:val="righ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Al Direttore DGROB</w:t>
      </w:r>
    </w:p>
    <w:p w:rsidR="007E4839" w:rsidRDefault="007E4839" w:rsidP="007E4839">
      <w:pPr>
        <w:jc w:val="righ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Al Direttore dell’</w:t>
      </w:r>
      <w:r w:rsidR="003E51FF">
        <w:rPr>
          <w:rFonts w:ascii="Times New Roman" w:hAnsi="Times New Roman"/>
          <w:bCs/>
          <w:noProof/>
          <w:sz w:val="24"/>
          <w:szCs w:val="24"/>
        </w:rPr>
        <w:t>OIV</w:t>
      </w:r>
    </w:p>
    <w:p w:rsidR="007E4839" w:rsidRDefault="007E4839" w:rsidP="007E4839">
      <w:pPr>
        <w:jc w:val="right"/>
        <w:rPr>
          <w:rFonts w:ascii="Times New Roman" w:hAnsi="Times New Roman"/>
          <w:bCs/>
          <w:noProof/>
          <w:sz w:val="24"/>
          <w:szCs w:val="24"/>
        </w:rPr>
      </w:pPr>
    </w:p>
    <w:p w:rsidR="007E4839" w:rsidRDefault="007E4839" w:rsidP="007E4839">
      <w:pPr>
        <w:jc w:val="righ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Ai Dirigenti DGROB delle divisioni I - II – V</w:t>
      </w:r>
    </w:p>
    <w:p w:rsidR="007E4839" w:rsidRDefault="007E4839" w:rsidP="007E4839">
      <w:pPr>
        <w:jc w:val="right"/>
        <w:rPr>
          <w:rFonts w:ascii="Times New Roman" w:hAnsi="Times New Roman"/>
          <w:bCs/>
          <w:noProof/>
          <w:sz w:val="24"/>
          <w:szCs w:val="24"/>
        </w:rPr>
      </w:pPr>
    </w:p>
    <w:p w:rsidR="007E4839" w:rsidRDefault="007E4839" w:rsidP="007E4839">
      <w:pPr>
        <w:jc w:val="righ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All’Organismo paritetico per l’innovazione</w:t>
      </w:r>
    </w:p>
    <w:p w:rsidR="007E4839" w:rsidRDefault="007E4839" w:rsidP="007E4839">
      <w:pPr>
        <w:jc w:val="righ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Alle OO.SS.</w:t>
      </w:r>
    </w:p>
    <w:p w:rsidR="003E51FF" w:rsidRDefault="003E51FF" w:rsidP="003E51FF">
      <w:pPr>
        <w:jc w:val="right"/>
        <w:rPr>
          <w:rFonts w:ascii="Times New Roman" w:hAnsi="Times New Roman"/>
          <w:bCs/>
          <w:noProof/>
          <w:sz w:val="24"/>
          <w:szCs w:val="24"/>
        </w:rPr>
      </w:pPr>
    </w:p>
    <w:p w:rsidR="003E51FF" w:rsidRPr="003E51FF" w:rsidRDefault="003E51FF" w:rsidP="003E51FF">
      <w:pPr>
        <w:jc w:val="right"/>
        <w:rPr>
          <w:rFonts w:ascii="Times New Roman" w:hAnsi="Times New Roman"/>
          <w:bCs/>
          <w:smallCaps/>
          <w:noProof/>
          <w:sz w:val="24"/>
          <w:szCs w:val="24"/>
        </w:rPr>
      </w:pPr>
      <w:r w:rsidRPr="003E51FF">
        <w:rPr>
          <w:rFonts w:ascii="Times New Roman" w:hAnsi="Times New Roman"/>
          <w:bCs/>
          <w:smallCaps/>
          <w:noProof/>
          <w:sz w:val="24"/>
          <w:szCs w:val="24"/>
        </w:rPr>
        <w:t>LORO SEDI</w:t>
      </w:r>
    </w:p>
    <w:p w:rsidR="003E51FF" w:rsidRDefault="003E51FF" w:rsidP="003E51FF">
      <w:pPr>
        <w:jc w:val="right"/>
        <w:rPr>
          <w:rFonts w:ascii="Times New Roman" w:hAnsi="Times New Roman"/>
          <w:bCs/>
          <w:noProof/>
          <w:sz w:val="24"/>
          <w:szCs w:val="24"/>
        </w:rPr>
      </w:pPr>
    </w:p>
    <w:p w:rsidR="003E51FF" w:rsidRPr="003E51FF" w:rsidRDefault="003E51FF" w:rsidP="007E4839">
      <w:pPr>
        <w:pStyle w:val="Titolo1"/>
        <w:pBdr>
          <w:bottom w:val="single" w:sz="4" w:space="1" w:color="auto"/>
        </w:pBdr>
        <w:shd w:val="clear" w:color="auto" w:fill="FFFFFF"/>
        <w:spacing w:before="0" w:beforeAutospacing="0" w:after="450" w:afterAutospacing="0"/>
        <w:rPr>
          <w:rFonts w:ascii="Helvetica" w:hAnsi="Helvetica"/>
          <w:color w:val="000000"/>
          <w:spacing w:val="-2"/>
          <w:sz w:val="65"/>
          <w:szCs w:val="65"/>
        </w:rPr>
      </w:pPr>
      <w:r>
        <w:rPr>
          <w:bCs w:val="0"/>
          <w:noProof/>
          <w:sz w:val="24"/>
          <w:szCs w:val="24"/>
        </w:rPr>
        <w:t xml:space="preserve">Oggetto: </w:t>
      </w:r>
      <w:r w:rsidRPr="003E51FF">
        <w:rPr>
          <w:bCs w:val="0"/>
          <w:noProof/>
          <w:sz w:val="24"/>
          <w:szCs w:val="24"/>
        </w:rPr>
        <w:t>Direttiva 2/19 “Misure per promuovere le pari opportunità e rafforzare il ruolo dei Comitati Unici di Garanzia nelle amministrazioni pubbliche"</w:t>
      </w:r>
    </w:p>
    <w:p w:rsidR="007E4839" w:rsidRDefault="007E4839" w:rsidP="00455743">
      <w:pPr>
        <w:spacing w:line="360" w:lineRule="auto"/>
        <w:ind w:firstLine="992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Si informano le SS.VV. che in data 26.06.2019 il Ministro per la Pubblica Amministrazione ed il Sottosegretario delegato alle pari opportunità</w:t>
      </w:r>
      <w:r w:rsidR="00455743">
        <w:rPr>
          <w:rFonts w:ascii="Times New Roman" w:hAnsi="Times New Roman"/>
          <w:bCs/>
          <w:noProof/>
          <w:sz w:val="24"/>
          <w:szCs w:val="24"/>
        </w:rPr>
        <w:t xml:space="preserve">,di concerto, </w:t>
      </w:r>
      <w:r>
        <w:rPr>
          <w:rFonts w:ascii="Times New Roman" w:hAnsi="Times New Roman"/>
          <w:bCs/>
          <w:noProof/>
          <w:sz w:val="24"/>
          <w:szCs w:val="24"/>
        </w:rPr>
        <w:t xml:space="preserve">hanno emanato la Direttiva </w:t>
      </w:r>
      <w:r w:rsidR="00455743">
        <w:rPr>
          <w:rFonts w:ascii="Times New Roman" w:hAnsi="Times New Roman"/>
          <w:bCs/>
          <w:noProof/>
          <w:sz w:val="24"/>
          <w:szCs w:val="24"/>
        </w:rPr>
        <w:t xml:space="preserve">n.2/2019, con cui vengono definite nuove “Linee di indirizzo” di orientamento per le </w:t>
      </w:r>
      <w:r w:rsidR="00455743" w:rsidRPr="00455743">
        <w:rPr>
          <w:rFonts w:ascii="Times New Roman" w:hAnsi="Times New Roman"/>
          <w:bCs/>
          <w:noProof/>
          <w:sz w:val="24"/>
          <w:szCs w:val="24"/>
        </w:rPr>
        <w:t>pubbliche amministrazioni in materia di promozione della parità e delle pari opportunità, ai sensi del decreto legislativo 11 aprile 2006, n. 198, recante “</w:t>
      </w:r>
      <w:r w:rsidR="00455743" w:rsidRPr="00455743">
        <w:rPr>
          <w:rFonts w:ascii="Times New Roman" w:hAnsi="Times New Roman"/>
          <w:bCs/>
          <w:i/>
          <w:iCs/>
          <w:noProof/>
          <w:sz w:val="24"/>
          <w:szCs w:val="24"/>
        </w:rPr>
        <w:t>Codice delle pari opportunità tra uomo e donna</w:t>
      </w:r>
      <w:r w:rsidR="00455743" w:rsidRPr="00455743">
        <w:rPr>
          <w:rFonts w:ascii="Times New Roman" w:hAnsi="Times New Roman"/>
          <w:bCs/>
          <w:noProof/>
          <w:sz w:val="24"/>
          <w:szCs w:val="24"/>
        </w:rPr>
        <w:t>”, valorizzazione del benessere di chi lavora e contrasto a qualsiasi forma di discriminazione.</w:t>
      </w:r>
    </w:p>
    <w:p w:rsidR="00455743" w:rsidRDefault="00455743" w:rsidP="00455743">
      <w:pPr>
        <w:spacing w:line="360" w:lineRule="auto"/>
        <w:ind w:firstLine="992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La direttiva in parola va a sostituire analogo atto del 23.05.</w:t>
      </w:r>
      <w:r w:rsidRPr="00455743">
        <w:rPr>
          <w:rFonts w:ascii="Times New Roman" w:hAnsi="Times New Roman"/>
          <w:bCs/>
          <w:noProof/>
          <w:sz w:val="24"/>
          <w:szCs w:val="24"/>
        </w:rPr>
        <w:t>2007 recante “Misure per attuare parità e pari opportunità tra uomini e donne nelle amministrazioni pubbliche” e aggiorna alcuni degli indir</w:t>
      </w:r>
      <w:r>
        <w:rPr>
          <w:rFonts w:ascii="Times New Roman" w:hAnsi="Times New Roman"/>
          <w:bCs/>
          <w:noProof/>
          <w:sz w:val="24"/>
          <w:szCs w:val="24"/>
        </w:rPr>
        <w:t>izzi forniti con la direttiva 4.03.</w:t>
      </w:r>
      <w:r w:rsidRPr="00455743">
        <w:rPr>
          <w:rFonts w:ascii="Times New Roman" w:hAnsi="Times New Roman"/>
          <w:bCs/>
          <w:noProof/>
          <w:sz w:val="24"/>
          <w:szCs w:val="24"/>
        </w:rPr>
        <w:t>2011 sulle modalità di funzionamento dei «Comitati Unici di Garanzia per le pari opportunità, la valorizzazione del benessere di chi lavora e contro le discriminazioni».</w:t>
      </w:r>
    </w:p>
    <w:p w:rsidR="007E4839" w:rsidRDefault="00123B74" w:rsidP="00455743">
      <w:pPr>
        <w:spacing w:line="360" w:lineRule="auto"/>
        <w:ind w:firstLine="992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Questo stesso Comitatoha partecipato ai lavori della “Rete Nazionale dei CUG”</w:t>
      </w:r>
      <w:r w:rsidR="00FE3F85">
        <w:rPr>
          <w:rFonts w:ascii="Times New Roman" w:hAnsi="Times New Roman"/>
          <w:bCs/>
          <w:noProof/>
          <w:sz w:val="24"/>
          <w:szCs w:val="24"/>
        </w:rPr>
        <w:t>,</w:t>
      </w:r>
      <w:r>
        <w:rPr>
          <w:rFonts w:ascii="Times New Roman" w:hAnsi="Times New Roman"/>
          <w:bCs/>
          <w:noProof/>
          <w:sz w:val="24"/>
          <w:szCs w:val="24"/>
        </w:rPr>
        <w:t xml:space="preserve"> che </w:t>
      </w:r>
      <w:r w:rsidR="003B5CF8">
        <w:rPr>
          <w:rFonts w:ascii="Times New Roman" w:hAnsi="Times New Roman"/>
          <w:bCs/>
          <w:noProof/>
          <w:sz w:val="24"/>
          <w:szCs w:val="24"/>
        </w:rPr>
        <w:t>ha</w:t>
      </w:r>
      <w:r>
        <w:rPr>
          <w:rFonts w:ascii="Times New Roman" w:hAnsi="Times New Roman"/>
          <w:bCs/>
          <w:noProof/>
          <w:sz w:val="24"/>
          <w:szCs w:val="24"/>
        </w:rPr>
        <w:t xml:space="preserve"> fornito </w:t>
      </w:r>
      <w:r w:rsidR="003B5CF8">
        <w:rPr>
          <w:rFonts w:ascii="Times New Roman" w:hAnsi="Times New Roman"/>
          <w:bCs/>
          <w:noProof/>
          <w:sz w:val="24"/>
          <w:szCs w:val="24"/>
        </w:rPr>
        <w:t>e</w:t>
      </w:r>
      <w:r>
        <w:rPr>
          <w:rFonts w:ascii="Times New Roman" w:hAnsi="Times New Roman"/>
          <w:bCs/>
          <w:noProof/>
          <w:sz w:val="24"/>
          <w:szCs w:val="24"/>
        </w:rPr>
        <w:t>lementi</w:t>
      </w:r>
      <w:r w:rsidR="003B5CF8">
        <w:rPr>
          <w:rFonts w:ascii="Times New Roman" w:hAnsi="Times New Roman"/>
          <w:bCs/>
          <w:noProof/>
          <w:sz w:val="24"/>
          <w:szCs w:val="24"/>
        </w:rPr>
        <w:t xml:space="preserve"> utili</w:t>
      </w:r>
      <w:r>
        <w:rPr>
          <w:rFonts w:ascii="Times New Roman" w:hAnsi="Times New Roman"/>
          <w:bCs/>
          <w:noProof/>
          <w:sz w:val="24"/>
          <w:szCs w:val="24"/>
        </w:rPr>
        <w:t xml:space="preserve"> alla redazione della Direttiva,</w:t>
      </w:r>
      <w:r w:rsidR="00616B34">
        <w:rPr>
          <w:rFonts w:ascii="Times New Roman" w:hAnsi="Times New Roman"/>
          <w:bCs/>
          <w:noProof/>
          <w:sz w:val="24"/>
          <w:szCs w:val="24"/>
        </w:rPr>
        <w:t xml:space="preserve"> ed è </w:t>
      </w:r>
      <w:r w:rsidR="00FE3F85">
        <w:rPr>
          <w:rFonts w:ascii="Times New Roman" w:hAnsi="Times New Roman"/>
          <w:bCs/>
          <w:noProof/>
          <w:sz w:val="24"/>
          <w:szCs w:val="24"/>
        </w:rPr>
        <w:t xml:space="preserve">pertanto </w:t>
      </w:r>
      <w:r w:rsidR="00616B34">
        <w:rPr>
          <w:rFonts w:ascii="Times New Roman" w:hAnsi="Times New Roman"/>
          <w:bCs/>
          <w:noProof/>
          <w:sz w:val="24"/>
          <w:szCs w:val="24"/>
        </w:rPr>
        <w:t>tra i soggetti cui è formalmente rivolta</w:t>
      </w:r>
      <w:r w:rsidR="00FE3F85">
        <w:rPr>
          <w:rFonts w:ascii="Times New Roman" w:hAnsi="Times New Roman"/>
          <w:bCs/>
          <w:noProof/>
          <w:sz w:val="24"/>
          <w:szCs w:val="24"/>
        </w:rPr>
        <w:t>. Pertanto si</w:t>
      </w:r>
      <w:r>
        <w:rPr>
          <w:rFonts w:ascii="Times New Roman" w:hAnsi="Times New Roman"/>
          <w:bCs/>
          <w:noProof/>
          <w:sz w:val="24"/>
          <w:szCs w:val="24"/>
        </w:rPr>
        <w:t xml:space="preserve"> ritiene opportuno</w:t>
      </w:r>
      <w:r w:rsidR="00FE3F85">
        <w:rPr>
          <w:rFonts w:ascii="Times New Roman" w:hAnsi="Times New Roman"/>
          <w:bCs/>
          <w:noProof/>
          <w:sz w:val="24"/>
          <w:szCs w:val="24"/>
        </w:rPr>
        <w:t>, nel darne informazione,</w:t>
      </w:r>
      <w:r>
        <w:rPr>
          <w:rFonts w:ascii="Times New Roman" w:hAnsi="Times New Roman"/>
          <w:bCs/>
          <w:noProof/>
          <w:sz w:val="24"/>
          <w:szCs w:val="24"/>
        </w:rPr>
        <w:t xml:space="preserve"> dare risalto ad alcuni punti salienti dell’</w:t>
      </w:r>
      <w:r w:rsidR="00FE3F85">
        <w:rPr>
          <w:rFonts w:ascii="Times New Roman" w:hAnsi="Times New Roman"/>
          <w:bCs/>
          <w:noProof/>
          <w:sz w:val="24"/>
          <w:szCs w:val="24"/>
        </w:rPr>
        <w:t>A</w:t>
      </w:r>
      <w:r>
        <w:rPr>
          <w:rFonts w:ascii="Times New Roman" w:hAnsi="Times New Roman"/>
          <w:bCs/>
          <w:noProof/>
          <w:sz w:val="24"/>
          <w:szCs w:val="24"/>
        </w:rPr>
        <w:t>tto, che sopraggiunge di necessità, nonostante</w:t>
      </w:r>
      <w:r w:rsidRPr="00123B74">
        <w:rPr>
          <w:rFonts w:ascii="Times New Roman" w:hAnsi="Times New Roman"/>
          <w:bCs/>
          <w:noProof/>
          <w:sz w:val="24"/>
          <w:szCs w:val="24"/>
        </w:rPr>
        <w:t xml:space="preserve"> la produzione normativa degli ultimi anni</w:t>
      </w:r>
      <w:r>
        <w:rPr>
          <w:rFonts w:ascii="Times New Roman" w:hAnsi="Times New Roman"/>
          <w:bCs/>
          <w:noProof/>
          <w:sz w:val="24"/>
          <w:szCs w:val="24"/>
        </w:rPr>
        <w:t>,</w:t>
      </w:r>
      <w:r w:rsidR="00C02CCC">
        <w:rPr>
          <w:rFonts w:ascii="Times New Roman" w:hAnsi="Times New Roman"/>
          <w:bCs/>
          <w:noProof/>
          <w:sz w:val="24"/>
          <w:szCs w:val="24"/>
        </w:rPr>
        <w:t xml:space="preserve">in quanto </w:t>
      </w:r>
      <w:r w:rsidRPr="00123B74">
        <w:rPr>
          <w:rFonts w:ascii="Times New Roman" w:hAnsi="Times New Roman"/>
          <w:bCs/>
          <w:noProof/>
          <w:sz w:val="24"/>
          <w:szCs w:val="24"/>
        </w:rPr>
        <w:t>il principio del </w:t>
      </w:r>
      <w:r w:rsidRPr="00123B74">
        <w:rPr>
          <w:rFonts w:ascii="Times New Roman" w:hAnsi="Times New Roman"/>
          <w:bCs/>
          <w:i/>
          <w:iCs/>
          <w:noProof/>
          <w:sz w:val="24"/>
          <w:szCs w:val="24"/>
        </w:rPr>
        <w:t>gender mainstreaming</w:t>
      </w:r>
      <w:r w:rsidRPr="00123B74">
        <w:rPr>
          <w:rFonts w:ascii="Times New Roman" w:hAnsi="Times New Roman"/>
          <w:bCs/>
          <w:noProof/>
          <w:sz w:val="24"/>
          <w:szCs w:val="24"/>
        </w:rPr>
        <w:t>, come valore da perseguire in tutti i settori di intervento, così come codificato nell’articolo 1, comma 4, del Codice delle pari opportunità (</w:t>
      </w:r>
      <w:r>
        <w:rPr>
          <w:rFonts w:ascii="Times New Roman" w:hAnsi="Times New Roman"/>
          <w:bCs/>
          <w:noProof/>
          <w:sz w:val="24"/>
          <w:szCs w:val="24"/>
        </w:rPr>
        <w:t>sopra citato</w:t>
      </w:r>
      <w:r w:rsidRPr="00123B74">
        <w:rPr>
          <w:rFonts w:ascii="Times New Roman" w:hAnsi="Times New Roman"/>
          <w:bCs/>
          <w:noProof/>
          <w:sz w:val="24"/>
          <w:szCs w:val="24"/>
        </w:rPr>
        <w:t xml:space="preserve">), non ha trovato </w:t>
      </w:r>
      <w:r w:rsidR="00C02CCC">
        <w:rPr>
          <w:rFonts w:ascii="Times New Roman" w:hAnsi="Times New Roman"/>
          <w:bCs/>
          <w:noProof/>
          <w:sz w:val="24"/>
          <w:szCs w:val="24"/>
        </w:rPr>
        <w:t>ancora</w:t>
      </w:r>
      <w:r w:rsidRPr="00123B74">
        <w:rPr>
          <w:rFonts w:ascii="Times New Roman" w:hAnsi="Times New Roman"/>
          <w:bCs/>
          <w:noProof/>
          <w:sz w:val="24"/>
          <w:szCs w:val="24"/>
        </w:rPr>
        <w:t xml:space="preserve"> un adeguato livello di applicazione e, quindi, un esaustivo riconoscimento di tipo trasversale. </w:t>
      </w:r>
    </w:p>
    <w:p w:rsidR="00917880" w:rsidRDefault="00C02CCC" w:rsidP="00455743">
      <w:pPr>
        <w:spacing w:line="360" w:lineRule="auto"/>
        <w:ind w:firstLine="992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2C2348">
        <w:rPr>
          <w:rFonts w:ascii="Times New Roman" w:hAnsi="Times New Roman"/>
          <w:b/>
          <w:bCs/>
          <w:noProof/>
          <w:sz w:val="24"/>
          <w:szCs w:val="24"/>
        </w:rPr>
        <w:lastRenderedPageBreak/>
        <w:t xml:space="preserve"> Al punto 3.2.</w:t>
      </w:r>
      <w:bookmarkStart w:id="0" w:name="_Toc12477275"/>
      <w:r w:rsidR="002C2348" w:rsidRPr="002C2348">
        <w:rPr>
          <w:rFonts w:ascii="Times New Roman" w:hAnsi="Times New Roman"/>
          <w:b/>
          <w:bCs/>
          <w:noProof/>
          <w:sz w:val="24"/>
          <w:szCs w:val="24"/>
        </w:rPr>
        <w:t>Piani triennali di azioni positive</w:t>
      </w:r>
      <w:bookmarkEnd w:id="0"/>
      <w:r>
        <w:rPr>
          <w:rFonts w:ascii="Times New Roman" w:hAnsi="Times New Roman"/>
          <w:bCs/>
          <w:noProof/>
          <w:sz w:val="24"/>
          <w:szCs w:val="24"/>
        </w:rPr>
        <w:t xml:space="preserve"> la Direttiva ribadisce l’obbligo per le Pubbliche Amministrazioni di predisporre </w:t>
      </w:r>
      <w:r w:rsidRPr="002C2348">
        <w:rPr>
          <w:rFonts w:ascii="Times New Roman" w:hAnsi="Times New Roman"/>
          <w:bCs/>
          <w:noProof/>
          <w:sz w:val="24"/>
          <w:szCs w:val="24"/>
        </w:rPr>
        <w:t>Piani</w:t>
      </w:r>
      <w:r>
        <w:rPr>
          <w:rFonts w:ascii="Times New Roman" w:hAnsi="Times New Roman"/>
          <w:bCs/>
          <w:noProof/>
          <w:sz w:val="24"/>
          <w:szCs w:val="24"/>
        </w:rPr>
        <w:t>, come previsto d</w:t>
      </w:r>
      <w:r w:rsidRPr="00C02CCC">
        <w:rPr>
          <w:rFonts w:ascii="Times New Roman" w:hAnsi="Times New Roman"/>
          <w:bCs/>
          <w:noProof/>
          <w:sz w:val="24"/>
          <w:szCs w:val="24"/>
        </w:rPr>
        <w:t>all’art</w:t>
      </w:r>
      <w:r>
        <w:rPr>
          <w:rFonts w:ascii="Times New Roman" w:hAnsi="Times New Roman"/>
          <w:bCs/>
          <w:noProof/>
          <w:sz w:val="24"/>
          <w:szCs w:val="24"/>
        </w:rPr>
        <w:t>.</w:t>
      </w:r>
      <w:r w:rsidRPr="00C02CCC">
        <w:rPr>
          <w:rFonts w:ascii="Times New Roman" w:hAnsi="Times New Roman"/>
          <w:bCs/>
          <w:noProof/>
          <w:sz w:val="24"/>
          <w:szCs w:val="24"/>
        </w:rPr>
        <w:t xml:space="preserve"> 48 del d.lgs. n. 198</w:t>
      </w:r>
      <w:r>
        <w:rPr>
          <w:rFonts w:ascii="Times New Roman" w:hAnsi="Times New Roman"/>
          <w:bCs/>
          <w:noProof/>
          <w:sz w:val="24"/>
          <w:szCs w:val="24"/>
        </w:rPr>
        <w:t>/</w:t>
      </w:r>
      <w:r w:rsidRPr="00C02CCC">
        <w:rPr>
          <w:rFonts w:ascii="Times New Roman" w:hAnsi="Times New Roman"/>
          <w:bCs/>
          <w:noProof/>
          <w:sz w:val="24"/>
          <w:szCs w:val="24"/>
        </w:rPr>
        <w:t xml:space="preserve"> 2006,</w:t>
      </w:r>
      <w:r>
        <w:rPr>
          <w:rFonts w:ascii="Times New Roman" w:hAnsi="Times New Roman"/>
          <w:bCs/>
          <w:noProof/>
          <w:sz w:val="24"/>
          <w:szCs w:val="24"/>
        </w:rPr>
        <w:t>al fine di</w:t>
      </w:r>
      <w:r w:rsidRPr="00C02CCC">
        <w:rPr>
          <w:rFonts w:ascii="Times New Roman" w:hAnsi="Times New Roman"/>
          <w:bCs/>
          <w:noProof/>
          <w:sz w:val="24"/>
          <w:szCs w:val="24"/>
        </w:rPr>
        <w:t xml:space="preserve"> assicurare</w:t>
      </w:r>
      <w:r>
        <w:rPr>
          <w:rFonts w:ascii="Times New Roman" w:hAnsi="Times New Roman"/>
          <w:bCs/>
          <w:noProof/>
          <w:sz w:val="24"/>
          <w:szCs w:val="24"/>
        </w:rPr>
        <w:t xml:space="preserve"> le condizioni per la piena </w:t>
      </w:r>
      <w:r w:rsidRPr="00C02CCC">
        <w:rPr>
          <w:rFonts w:ascii="Times New Roman" w:hAnsi="Times New Roman"/>
          <w:bCs/>
          <w:noProof/>
          <w:sz w:val="24"/>
          <w:szCs w:val="24"/>
        </w:rPr>
        <w:t>reali</w:t>
      </w:r>
      <w:r>
        <w:rPr>
          <w:rFonts w:ascii="Times New Roman" w:hAnsi="Times New Roman"/>
          <w:bCs/>
          <w:noProof/>
          <w:sz w:val="24"/>
          <w:szCs w:val="24"/>
        </w:rPr>
        <w:t>zzazione delle pari opportunità</w:t>
      </w:r>
      <w:r w:rsidR="00917880">
        <w:rPr>
          <w:rFonts w:ascii="Times New Roman" w:hAnsi="Times New Roman"/>
          <w:bCs/>
          <w:noProof/>
          <w:sz w:val="24"/>
          <w:szCs w:val="24"/>
        </w:rPr>
        <w:t>, mentre l</w:t>
      </w:r>
      <w:r w:rsidRPr="00917880">
        <w:rPr>
          <w:rFonts w:ascii="Times New Roman" w:hAnsi="Times New Roman"/>
          <w:bCs/>
          <w:noProof/>
          <w:sz w:val="24"/>
          <w:szCs w:val="24"/>
        </w:rPr>
        <w:t xml:space="preserve">a medesima disposizione </w:t>
      </w:r>
      <w:r w:rsidR="00917880">
        <w:rPr>
          <w:rFonts w:ascii="Times New Roman" w:hAnsi="Times New Roman"/>
          <w:bCs/>
          <w:noProof/>
          <w:sz w:val="24"/>
          <w:szCs w:val="24"/>
        </w:rPr>
        <w:t>stabilisce</w:t>
      </w:r>
      <w:r w:rsidRPr="00917880">
        <w:rPr>
          <w:rFonts w:ascii="Times New Roman" w:hAnsi="Times New Roman"/>
          <w:bCs/>
          <w:noProof/>
          <w:sz w:val="24"/>
          <w:szCs w:val="24"/>
        </w:rPr>
        <w:t>, quale sanzione per il caso di mancata adozione del Piano triennale, il divieto di assumere da parte dell’Amministrazione nuovo personale, compreso quello appartenente alle categorie protette.</w:t>
      </w:r>
    </w:p>
    <w:p w:rsidR="002C2348" w:rsidRDefault="00917880" w:rsidP="002C2348">
      <w:pPr>
        <w:spacing w:line="360" w:lineRule="auto"/>
        <w:ind w:firstLine="992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Il ruolo del </w:t>
      </w:r>
      <w:r w:rsidR="009C69E9" w:rsidRPr="009C69E9">
        <w:rPr>
          <w:rFonts w:ascii="Times New Roman" w:hAnsi="Times New Roman"/>
          <w:bCs/>
          <w:noProof/>
          <w:sz w:val="24"/>
          <w:szCs w:val="24"/>
        </w:rPr>
        <w:t>CUG</w:t>
      </w:r>
      <w:r>
        <w:rPr>
          <w:rFonts w:ascii="Times New Roman" w:hAnsi="Times New Roman"/>
          <w:bCs/>
          <w:noProof/>
          <w:sz w:val="24"/>
          <w:szCs w:val="24"/>
        </w:rPr>
        <w:t xml:space="preserve">in tale azione diviene ora di primaria importanza e si esprime attraverso la prediposizione </w:t>
      </w:r>
      <w:r w:rsidRPr="00917880">
        <w:rPr>
          <w:rFonts w:ascii="Times New Roman" w:hAnsi="Times New Roman"/>
          <w:bCs/>
          <w:noProof/>
          <w:sz w:val="24"/>
          <w:szCs w:val="24"/>
        </w:rPr>
        <w:t>entro il 30 marzo</w:t>
      </w:r>
      <w:r>
        <w:rPr>
          <w:rFonts w:ascii="Times New Roman" w:hAnsi="Times New Roman"/>
          <w:bCs/>
          <w:noProof/>
          <w:sz w:val="24"/>
          <w:szCs w:val="24"/>
        </w:rPr>
        <w:t xml:space="preserve"> di ciascun anno</w:t>
      </w:r>
      <w:r w:rsidRPr="00917880">
        <w:rPr>
          <w:rFonts w:ascii="Times New Roman" w:hAnsi="Times New Roman"/>
          <w:bCs/>
          <w:noProof/>
          <w:sz w:val="24"/>
          <w:szCs w:val="24"/>
        </w:rPr>
        <w:t>,</w:t>
      </w:r>
      <w:r>
        <w:rPr>
          <w:rFonts w:ascii="Times New Roman" w:hAnsi="Times New Roman"/>
          <w:bCs/>
          <w:noProof/>
          <w:sz w:val="24"/>
          <w:szCs w:val="24"/>
        </w:rPr>
        <w:t xml:space="preserve"> di</w:t>
      </w:r>
      <w:r w:rsidRPr="00917880">
        <w:rPr>
          <w:rFonts w:ascii="Times New Roman" w:hAnsi="Times New Roman"/>
          <w:bCs/>
          <w:noProof/>
          <w:sz w:val="24"/>
          <w:szCs w:val="24"/>
        </w:rPr>
        <w:t xml:space="preserve"> una relazione</w:t>
      </w:r>
      <w:r w:rsidR="002C2348">
        <w:rPr>
          <w:rFonts w:ascii="Times New Roman" w:hAnsi="Times New Roman"/>
          <w:bCs/>
          <w:noProof/>
          <w:sz w:val="24"/>
          <w:szCs w:val="24"/>
        </w:rPr>
        <w:t>,che deve essere inoltrata</w:t>
      </w:r>
      <w:r w:rsidR="002C2348" w:rsidRPr="00917880">
        <w:rPr>
          <w:rFonts w:ascii="Times New Roman" w:hAnsi="Times New Roman"/>
          <w:bCs/>
          <w:noProof/>
          <w:sz w:val="24"/>
          <w:szCs w:val="24"/>
        </w:rPr>
        <w:t xml:space="preserve"> agli organi di indirizzo politico-amministrativo</w:t>
      </w:r>
      <w:r w:rsidR="002C2348">
        <w:rPr>
          <w:rFonts w:ascii="Times New Roman" w:hAnsi="Times New Roman"/>
          <w:bCs/>
          <w:noProof/>
          <w:sz w:val="24"/>
          <w:szCs w:val="24"/>
        </w:rPr>
        <w:t>,</w:t>
      </w:r>
      <w:r w:rsidRPr="00917880">
        <w:rPr>
          <w:rFonts w:ascii="Times New Roman" w:hAnsi="Times New Roman"/>
          <w:bCs/>
          <w:noProof/>
          <w:sz w:val="24"/>
          <w:szCs w:val="24"/>
        </w:rPr>
        <w:t>sulla situazione del personale dell’ente di appartenenza riferita all’anno precedente</w:t>
      </w:r>
      <w:r>
        <w:rPr>
          <w:rFonts w:ascii="Times New Roman" w:hAnsi="Times New Roman"/>
          <w:bCs/>
          <w:noProof/>
          <w:sz w:val="24"/>
          <w:szCs w:val="24"/>
        </w:rPr>
        <w:t>. Tale relazione contiene anche</w:t>
      </w:r>
      <w:r w:rsidRPr="00917880">
        <w:rPr>
          <w:rFonts w:ascii="Times New Roman" w:hAnsi="Times New Roman"/>
          <w:bCs/>
          <w:noProof/>
          <w:sz w:val="24"/>
          <w:szCs w:val="24"/>
        </w:rPr>
        <w:t xml:space="preserve"> una apposita sezione sulla attuazione del suddetto Piano triennale e, ove non adottato, una segnalazione dell’inadempienza dell’amministrazione. Tale relazione, che a decorrere dall’entrata in vigore della </w:t>
      </w:r>
      <w:r>
        <w:rPr>
          <w:rFonts w:ascii="Times New Roman" w:hAnsi="Times New Roman"/>
          <w:bCs/>
          <w:noProof/>
          <w:sz w:val="24"/>
          <w:szCs w:val="24"/>
        </w:rPr>
        <w:t>citata</w:t>
      </w:r>
      <w:r w:rsidRPr="00917880">
        <w:rPr>
          <w:rFonts w:ascii="Times New Roman" w:hAnsi="Times New Roman"/>
          <w:bCs/>
          <w:noProof/>
          <w:sz w:val="24"/>
          <w:szCs w:val="24"/>
        </w:rPr>
        <w:t xml:space="preserve"> direttiva deve essere trasmessa anche all’Organismo indipendente di Valutazione (OIV), rileva ai fini della valutazione della performance organizzativa complessiva dell’amministrazione e della valutazione della performance individuale del dirigente responsabile.</w:t>
      </w:r>
      <w:r w:rsidR="002C2348" w:rsidRPr="002C2348">
        <w:rPr>
          <w:rFonts w:ascii="Times New Roman" w:hAnsi="Times New Roman"/>
          <w:bCs/>
          <w:noProof/>
          <w:sz w:val="24"/>
          <w:szCs w:val="24"/>
        </w:rPr>
        <w:t>In ragione del collegamento con il ciclo della </w:t>
      </w:r>
      <w:r w:rsidR="002C2348" w:rsidRPr="002C2348">
        <w:rPr>
          <w:rFonts w:ascii="Times New Roman" w:hAnsi="Times New Roman"/>
          <w:bCs/>
          <w:i/>
          <w:iCs/>
          <w:noProof/>
          <w:sz w:val="24"/>
          <w:szCs w:val="24"/>
        </w:rPr>
        <w:t>performance</w:t>
      </w:r>
      <w:r w:rsidR="002C2348" w:rsidRPr="002C2348">
        <w:rPr>
          <w:rFonts w:ascii="Times New Roman" w:hAnsi="Times New Roman"/>
          <w:bCs/>
          <w:noProof/>
          <w:sz w:val="24"/>
          <w:szCs w:val="24"/>
        </w:rPr>
        <w:t>, il Piano triennale di azioni positive deve essere aggiornato entro il 31 gennaio di ogni anno, anche come allegato al Piano della </w:t>
      </w:r>
      <w:r w:rsidR="002C2348" w:rsidRPr="002C2348">
        <w:rPr>
          <w:rFonts w:ascii="Times New Roman" w:hAnsi="Times New Roman"/>
          <w:bCs/>
          <w:i/>
          <w:iCs/>
          <w:noProof/>
          <w:sz w:val="24"/>
          <w:szCs w:val="24"/>
        </w:rPr>
        <w:t>performance</w:t>
      </w:r>
      <w:r w:rsidR="002C2348" w:rsidRPr="002C2348">
        <w:rPr>
          <w:rFonts w:ascii="Times New Roman" w:hAnsi="Times New Roman"/>
          <w:bCs/>
          <w:noProof/>
          <w:sz w:val="24"/>
          <w:szCs w:val="24"/>
        </w:rPr>
        <w:t>.</w:t>
      </w:r>
      <w:bookmarkStart w:id="1" w:name="_Toc12477276"/>
    </w:p>
    <w:p w:rsidR="007B3C97" w:rsidRDefault="002C2348" w:rsidP="007B3C97">
      <w:pPr>
        <w:spacing w:line="360" w:lineRule="auto"/>
        <w:ind w:firstLine="992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2C2348">
        <w:rPr>
          <w:rFonts w:ascii="Times New Roman" w:hAnsi="Times New Roman"/>
          <w:b/>
          <w:bCs/>
          <w:noProof/>
          <w:sz w:val="24"/>
          <w:szCs w:val="24"/>
        </w:rPr>
        <w:t>Al punto 3.3.</w:t>
      </w:r>
      <w:r w:rsidR="00917880" w:rsidRPr="002C2348">
        <w:rPr>
          <w:rFonts w:ascii="Times New Roman" w:hAnsi="Times New Roman"/>
          <w:b/>
          <w:bCs/>
          <w:noProof/>
          <w:sz w:val="24"/>
          <w:szCs w:val="24"/>
        </w:rPr>
        <w:t>Politiche di reclutamento e gestione del personale</w:t>
      </w:r>
      <w:bookmarkEnd w:id="1"/>
      <w:r w:rsidR="009C69E9" w:rsidRPr="009C69E9">
        <w:rPr>
          <w:rFonts w:ascii="Times New Roman" w:hAnsi="Times New Roman"/>
          <w:bCs/>
          <w:noProof/>
          <w:sz w:val="24"/>
          <w:szCs w:val="24"/>
        </w:rPr>
        <w:t>la Direttiva</w:t>
      </w:r>
      <w:r w:rsidR="009C69E9">
        <w:rPr>
          <w:rFonts w:ascii="Times New Roman" w:hAnsi="Times New Roman"/>
          <w:bCs/>
          <w:noProof/>
          <w:sz w:val="24"/>
          <w:szCs w:val="24"/>
        </w:rPr>
        <w:t xml:space="preserve"> raccomanda che le </w:t>
      </w:r>
      <w:r w:rsidR="009C69E9" w:rsidRPr="009C69E9">
        <w:rPr>
          <w:rFonts w:ascii="Times New Roman" w:hAnsi="Times New Roman"/>
          <w:bCs/>
          <w:noProof/>
          <w:sz w:val="24"/>
          <w:szCs w:val="24"/>
        </w:rPr>
        <w:t>politiche di reclutamento e gestione del personale siano ispirate a rimuovere i fattori che ostacolano le pari opportunità, a promuovere la presenza equilibrata delle lavoratrici e dei lavoratori nelle posizioni apicali, evitino penalizzazioni discriminatorie nell’assegnazione degli incarichi, siano essi riferiti alle posizioni organizzative, alla preposizione agli uffici di livello dirigenziale o ad attività rientranti nei compiti e doveri d’ufficio, e nella corresponsione dei relativi emolumenti.</w:t>
      </w:r>
      <w:r w:rsidR="009C69E9">
        <w:rPr>
          <w:rFonts w:ascii="Times New Roman" w:hAnsi="Times New Roman"/>
          <w:bCs/>
          <w:noProof/>
          <w:sz w:val="24"/>
          <w:szCs w:val="24"/>
        </w:rPr>
        <w:t xml:space="preserve"> A tal fine la Direttiva indica </w:t>
      </w:r>
      <w:r w:rsidR="007B3C97">
        <w:rPr>
          <w:rFonts w:ascii="Times New Roman" w:hAnsi="Times New Roman"/>
          <w:bCs/>
          <w:noProof/>
          <w:sz w:val="24"/>
          <w:szCs w:val="24"/>
        </w:rPr>
        <w:t xml:space="preserve">specificamente </w:t>
      </w:r>
      <w:r w:rsidR="009C69E9">
        <w:rPr>
          <w:rFonts w:ascii="Times New Roman" w:hAnsi="Times New Roman"/>
          <w:bCs/>
          <w:noProof/>
          <w:sz w:val="24"/>
          <w:szCs w:val="24"/>
        </w:rPr>
        <w:t xml:space="preserve">che le Amministrazioni devono </w:t>
      </w:r>
      <w:r w:rsidR="009C69E9" w:rsidRPr="009C69E9">
        <w:rPr>
          <w:rFonts w:ascii="Times New Roman" w:hAnsi="Times New Roman"/>
          <w:bCs/>
          <w:noProof/>
          <w:sz w:val="24"/>
          <w:szCs w:val="24"/>
        </w:rPr>
        <w:t>monitorare gli incarichi conferiti sia al personale dirigenziale che a quello non dirigenziale, le indennità e le posizioni organizzative al fine di individuare eventuali differenziali retributivi tra donne e uomini e promuovere le conseguenti azioni correttive, dandone comunicazione al CUG</w:t>
      </w:r>
      <w:r w:rsidR="009C69E9">
        <w:rPr>
          <w:rFonts w:ascii="Times New Roman" w:hAnsi="Times New Roman"/>
          <w:bCs/>
          <w:noProof/>
          <w:sz w:val="24"/>
          <w:szCs w:val="24"/>
        </w:rPr>
        <w:t xml:space="preserve">. </w:t>
      </w:r>
      <w:r w:rsidR="007B3C97">
        <w:rPr>
          <w:rFonts w:ascii="Times New Roman" w:hAnsi="Times New Roman"/>
          <w:bCs/>
          <w:noProof/>
          <w:sz w:val="24"/>
          <w:szCs w:val="24"/>
        </w:rPr>
        <w:t>Inoltre</w:t>
      </w:r>
      <w:r w:rsidR="009C69E9">
        <w:rPr>
          <w:rFonts w:ascii="Times New Roman" w:hAnsi="Times New Roman"/>
          <w:bCs/>
          <w:noProof/>
          <w:sz w:val="24"/>
          <w:szCs w:val="24"/>
        </w:rPr>
        <w:t xml:space="preserve"> impone di</w:t>
      </w:r>
      <w:r w:rsidR="009C69E9" w:rsidRPr="009C69E9">
        <w:rPr>
          <w:rFonts w:ascii="Times New Roman" w:hAnsi="Times New Roman"/>
          <w:bCs/>
          <w:noProof/>
          <w:sz w:val="24"/>
          <w:szCs w:val="24"/>
        </w:rPr>
        <w:t> adottare iniziative per favorire il riequilibrio della presenza di genere nelle attività e nelle posizioni gerarchiche ove sussista un divario fra generi non inferiore a due terzi</w:t>
      </w:r>
      <w:r w:rsidR="009C69E9">
        <w:rPr>
          <w:rFonts w:ascii="Times New Roman" w:hAnsi="Times New Roman"/>
          <w:bCs/>
          <w:noProof/>
          <w:sz w:val="24"/>
          <w:szCs w:val="24"/>
        </w:rPr>
        <w:t>.</w:t>
      </w:r>
      <w:bookmarkStart w:id="2" w:name="_Toc12477277"/>
    </w:p>
    <w:p w:rsidR="005338FD" w:rsidRDefault="007B3C97" w:rsidP="005338FD">
      <w:pPr>
        <w:spacing w:line="360" w:lineRule="auto"/>
        <w:ind w:firstLine="992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Al punto 3.</w:t>
      </w:r>
      <w:r w:rsidRPr="007B3C97">
        <w:rPr>
          <w:rFonts w:ascii="Times New Roman" w:hAnsi="Times New Roman"/>
          <w:b/>
          <w:bCs/>
          <w:noProof/>
          <w:sz w:val="24"/>
          <w:szCs w:val="24"/>
        </w:rPr>
        <w:t>4 Organizzazione del lavoro</w:t>
      </w:r>
      <w:bookmarkEnd w:id="2"/>
      <w:r>
        <w:rPr>
          <w:rFonts w:ascii="Times New Roman" w:hAnsi="Times New Roman"/>
          <w:b/>
          <w:bCs/>
          <w:noProof/>
          <w:sz w:val="24"/>
          <w:szCs w:val="24"/>
        </w:rPr>
        <w:t xml:space="preserve">, </w:t>
      </w:r>
      <w:r w:rsidRPr="007B3C97">
        <w:rPr>
          <w:rFonts w:ascii="Times New Roman" w:hAnsi="Times New Roman"/>
          <w:bCs/>
          <w:noProof/>
          <w:sz w:val="24"/>
          <w:szCs w:val="24"/>
        </w:rPr>
        <w:t>si ritiene importante videnziare che la Direttiva impone l’attuazione di azioni che</w:t>
      </w:r>
      <w:r>
        <w:rPr>
          <w:rFonts w:ascii="Times New Roman" w:hAnsi="Times New Roman"/>
          <w:bCs/>
          <w:noProof/>
          <w:sz w:val="24"/>
          <w:szCs w:val="24"/>
        </w:rPr>
        <w:t>favoriscano</w:t>
      </w:r>
      <w:r w:rsidRPr="007B3C97">
        <w:rPr>
          <w:rFonts w:ascii="Times New Roman" w:hAnsi="Times New Roman"/>
          <w:bCs/>
          <w:noProof/>
          <w:sz w:val="24"/>
          <w:szCs w:val="24"/>
        </w:rPr>
        <w:t xml:space="preserve"> il reinserimento del personale assente dal lavoro per lunghi periodi (maternità, congedi parentali, ecc.), mediante il miglioramento dell’informazione fra amministrazione e lavoratori in congedo</w:t>
      </w:r>
      <w:r>
        <w:rPr>
          <w:rFonts w:ascii="Times New Roman" w:hAnsi="Times New Roman"/>
          <w:bCs/>
          <w:noProof/>
          <w:sz w:val="24"/>
          <w:szCs w:val="24"/>
        </w:rPr>
        <w:t>, oltre alla</w:t>
      </w:r>
      <w:r w:rsidRPr="007B3C97">
        <w:rPr>
          <w:rFonts w:ascii="Times New Roman" w:hAnsi="Times New Roman"/>
          <w:bCs/>
          <w:noProof/>
          <w:sz w:val="24"/>
          <w:szCs w:val="24"/>
        </w:rPr>
        <w:t xml:space="preserve"> predisposizione di percorsi </w:t>
      </w:r>
      <w:r w:rsidRPr="007B3C97">
        <w:rPr>
          <w:rFonts w:ascii="Times New Roman" w:hAnsi="Times New Roman"/>
          <w:bCs/>
          <w:noProof/>
          <w:sz w:val="24"/>
          <w:szCs w:val="24"/>
        </w:rPr>
        <w:lastRenderedPageBreak/>
        <w:t>formativi che, attraverso orari e modalità flessibili, garantiscano la massima partecipazione di don</w:t>
      </w:r>
      <w:r>
        <w:rPr>
          <w:rFonts w:ascii="Times New Roman" w:hAnsi="Times New Roman"/>
          <w:bCs/>
          <w:noProof/>
          <w:sz w:val="24"/>
          <w:szCs w:val="24"/>
        </w:rPr>
        <w:t xml:space="preserve">ne e uomini con carichi di cura. Inoltre, si sottolinea l’importanza di </w:t>
      </w:r>
      <w:r w:rsidRPr="007B3C97">
        <w:rPr>
          <w:rFonts w:ascii="Times New Roman" w:hAnsi="Times New Roman"/>
          <w:bCs/>
          <w:noProof/>
          <w:sz w:val="24"/>
          <w:szCs w:val="24"/>
        </w:rPr>
        <w:t xml:space="preserve">promuovere </w:t>
      </w:r>
      <w:r w:rsidRPr="007B3C97">
        <w:rPr>
          <w:rFonts w:ascii="Times New Roman" w:hAnsi="Times New Roman"/>
          <w:b/>
          <w:bCs/>
          <w:noProof/>
          <w:sz w:val="24"/>
          <w:szCs w:val="24"/>
        </w:rPr>
        <w:t>progetti finalizzati alla mappatura delle competenze professionali,</w:t>
      </w:r>
      <w:r>
        <w:rPr>
          <w:rFonts w:ascii="Times New Roman" w:hAnsi="Times New Roman"/>
          <w:bCs/>
          <w:noProof/>
          <w:sz w:val="24"/>
          <w:szCs w:val="24"/>
        </w:rPr>
        <w:t xml:space="preserve"> quale s</w:t>
      </w:r>
      <w:r w:rsidRPr="007B3C97">
        <w:rPr>
          <w:rFonts w:ascii="Times New Roman" w:hAnsi="Times New Roman"/>
          <w:bCs/>
          <w:noProof/>
          <w:sz w:val="24"/>
          <w:szCs w:val="24"/>
        </w:rPr>
        <w:t>trumento indispensabile per conoscere e valorizzare la qualità del lavoro di tutti i propri dipendenti.</w:t>
      </w:r>
      <w:bookmarkStart w:id="3" w:name="_Toc12477278"/>
    </w:p>
    <w:p w:rsidR="00123B74" w:rsidRDefault="005338FD" w:rsidP="005338FD">
      <w:pPr>
        <w:spacing w:line="360" w:lineRule="auto"/>
        <w:ind w:firstLine="992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Al punto 3.</w:t>
      </w:r>
      <w:r w:rsidRPr="005338FD">
        <w:rPr>
          <w:rFonts w:ascii="Times New Roman" w:hAnsi="Times New Roman"/>
          <w:b/>
          <w:bCs/>
          <w:noProof/>
          <w:sz w:val="24"/>
          <w:szCs w:val="24"/>
        </w:rPr>
        <w:t>5 Formazione e diffusione del modello culturale improntato alla promozione delle pari opportunità e alla conciliazione dei tempi di vita e di lavoro</w:t>
      </w:r>
      <w:bookmarkEnd w:id="3"/>
      <w:r>
        <w:rPr>
          <w:rFonts w:ascii="Times New Roman" w:hAnsi="Times New Roman"/>
          <w:b/>
          <w:bCs/>
          <w:noProof/>
          <w:sz w:val="24"/>
          <w:szCs w:val="24"/>
        </w:rPr>
        <w:t xml:space="preserve">, </w:t>
      </w:r>
      <w:r w:rsidR="00FA2E68">
        <w:rPr>
          <w:rFonts w:ascii="Times New Roman" w:hAnsi="Times New Roman"/>
          <w:bCs/>
          <w:noProof/>
          <w:sz w:val="24"/>
          <w:szCs w:val="24"/>
        </w:rPr>
        <w:t xml:space="preserve">le Amministrazioni devonorealizzare </w:t>
      </w:r>
      <w:r w:rsidR="00FA2E68" w:rsidRPr="00071044">
        <w:rPr>
          <w:rFonts w:ascii="Times New Roman" w:hAnsi="Times New Roman"/>
          <w:bCs/>
          <w:noProof/>
          <w:sz w:val="24"/>
          <w:szCs w:val="24"/>
        </w:rPr>
        <w:t>percorsi informativi e formativi</w:t>
      </w:r>
      <w:r w:rsidR="00FA2E68">
        <w:rPr>
          <w:rFonts w:ascii="Times New Roman" w:hAnsi="Times New Roman"/>
          <w:bCs/>
          <w:noProof/>
          <w:sz w:val="24"/>
          <w:szCs w:val="24"/>
        </w:rPr>
        <w:t>,</w:t>
      </w:r>
      <w:r w:rsidR="00071044" w:rsidRPr="00071044">
        <w:rPr>
          <w:rFonts w:ascii="Times New Roman" w:hAnsi="Times New Roman"/>
          <w:bCs/>
          <w:noProof/>
          <w:sz w:val="24"/>
          <w:szCs w:val="24"/>
        </w:rPr>
        <w:t xml:space="preserve">anche </w:t>
      </w:r>
      <w:r w:rsidR="00071044">
        <w:rPr>
          <w:rFonts w:ascii="Times New Roman" w:hAnsi="Times New Roman"/>
          <w:bCs/>
          <w:noProof/>
          <w:sz w:val="24"/>
          <w:szCs w:val="24"/>
        </w:rPr>
        <w:t>con il supporto</w:t>
      </w:r>
      <w:r w:rsidR="00071044" w:rsidRPr="00071044">
        <w:rPr>
          <w:rFonts w:ascii="Times New Roman" w:hAnsi="Times New Roman"/>
          <w:bCs/>
          <w:noProof/>
          <w:sz w:val="24"/>
          <w:szCs w:val="24"/>
        </w:rPr>
        <w:t xml:space="preserve"> del CUG</w:t>
      </w:r>
      <w:r w:rsidR="00071044">
        <w:rPr>
          <w:rFonts w:ascii="Times New Roman" w:hAnsi="Times New Roman"/>
          <w:bCs/>
          <w:noProof/>
          <w:sz w:val="24"/>
          <w:szCs w:val="24"/>
        </w:rPr>
        <w:t xml:space="preserve">, </w:t>
      </w:r>
      <w:r w:rsidR="00071044" w:rsidRPr="00071044">
        <w:rPr>
          <w:rFonts w:ascii="Times New Roman" w:hAnsi="Times New Roman"/>
          <w:bCs/>
          <w:noProof/>
          <w:sz w:val="24"/>
          <w:szCs w:val="24"/>
        </w:rPr>
        <w:t xml:space="preserve">che coinvolgano tutti i livelli dell’amministrazione, inclusi i dirigenti, a partire dagli apicali, </w:t>
      </w:r>
      <w:r w:rsidR="00071044">
        <w:rPr>
          <w:rFonts w:ascii="Times New Roman" w:hAnsi="Times New Roman"/>
          <w:bCs/>
          <w:noProof/>
          <w:sz w:val="24"/>
          <w:szCs w:val="24"/>
        </w:rPr>
        <w:t>quali protagonisti</w:t>
      </w:r>
      <w:r w:rsidR="00071044" w:rsidRPr="00071044">
        <w:rPr>
          <w:rFonts w:ascii="Times New Roman" w:hAnsi="Times New Roman"/>
          <w:bCs/>
          <w:noProof/>
          <w:sz w:val="24"/>
          <w:szCs w:val="24"/>
        </w:rPr>
        <w:t xml:space="preserve"> catalizzatori e promotori in prima linea del cambiamento culturale sui temi della promozione delle pari opportunità e della conciliazione dei tempi di vita e di lavoro.</w:t>
      </w:r>
    </w:p>
    <w:p w:rsidR="00FA2E68" w:rsidRDefault="00FA2E68" w:rsidP="00FA2E68">
      <w:pPr>
        <w:spacing w:line="360" w:lineRule="auto"/>
        <w:ind w:firstLine="992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Inoltre devono </w:t>
      </w:r>
      <w:r w:rsidRPr="00FA2E68">
        <w:rPr>
          <w:rFonts w:ascii="Times New Roman" w:hAnsi="Times New Roman"/>
          <w:bCs/>
          <w:noProof/>
          <w:sz w:val="24"/>
          <w:szCs w:val="24"/>
        </w:rPr>
        <w:t>produrre tutte le statistiche sul personale ripartite per genere</w:t>
      </w:r>
      <w:r>
        <w:rPr>
          <w:rFonts w:ascii="Times New Roman" w:hAnsi="Times New Roman"/>
          <w:bCs/>
          <w:noProof/>
          <w:sz w:val="24"/>
          <w:szCs w:val="24"/>
        </w:rPr>
        <w:t>, e tale</w:t>
      </w:r>
      <w:r w:rsidRPr="00FA2E68">
        <w:rPr>
          <w:rFonts w:ascii="Times New Roman" w:hAnsi="Times New Roman"/>
          <w:bCs/>
          <w:noProof/>
          <w:sz w:val="24"/>
          <w:szCs w:val="24"/>
        </w:rPr>
        <w:t xml:space="preserve"> ripartizione per genere non deve interessare solo alcune voci, ma contemplare tutte le variabili considerate (comprese quelle relative ai trattamenti economici e al tempo di permanenza nelle varie posizioni professionali).</w:t>
      </w:r>
    </w:p>
    <w:p w:rsidR="00B76432" w:rsidRPr="00FA2E68" w:rsidRDefault="00FA2E68" w:rsidP="00FA2E68">
      <w:pPr>
        <w:spacing w:line="360" w:lineRule="auto"/>
        <w:ind w:firstLine="992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Da ultimo, quale misura rivolta all’esterno, si sottolinea la necessità di </w:t>
      </w:r>
      <w:r w:rsidRPr="00FA2E68">
        <w:rPr>
          <w:rFonts w:ascii="Times New Roman" w:hAnsi="Times New Roman"/>
          <w:bCs/>
          <w:noProof/>
          <w:sz w:val="24"/>
          <w:szCs w:val="24"/>
        </w:rPr>
        <w:t xml:space="preserve">promuovere analisi di bilancio che mettano in evidenza quanta parte e quali voci del bilancio </w:t>
      </w:r>
      <w:r>
        <w:rPr>
          <w:rFonts w:ascii="Times New Roman" w:hAnsi="Times New Roman"/>
          <w:bCs/>
          <w:noProof/>
          <w:sz w:val="24"/>
          <w:szCs w:val="24"/>
        </w:rPr>
        <w:t xml:space="preserve">dell’Amministrazione </w:t>
      </w:r>
      <w:r w:rsidRPr="00FA2E68">
        <w:rPr>
          <w:rFonts w:ascii="Times New Roman" w:hAnsi="Times New Roman"/>
          <w:bCs/>
          <w:noProof/>
          <w:sz w:val="24"/>
          <w:szCs w:val="24"/>
        </w:rPr>
        <w:t>siano (in modo diretto o indiretto) indirizzate alle donne, quanta parte agli uomini e quanta parte a entrambi. Al fine di poter allocare le risorse sui servizi</w:t>
      </w:r>
      <w:r w:rsidR="00D63F57">
        <w:rPr>
          <w:rFonts w:ascii="Times New Roman" w:hAnsi="Times New Roman"/>
          <w:bCs/>
          <w:noProof/>
          <w:sz w:val="24"/>
          <w:szCs w:val="24"/>
        </w:rPr>
        <w:t xml:space="preserve"> resi</w:t>
      </w:r>
      <w:r>
        <w:rPr>
          <w:rFonts w:ascii="Times New Roman" w:hAnsi="Times New Roman"/>
          <w:bCs/>
          <w:noProof/>
          <w:sz w:val="24"/>
          <w:szCs w:val="24"/>
        </w:rPr>
        <w:t>,</w:t>
      </w:r>
      <w:r w:rsidRPr="00FA2E68">
        <w:rPr>
          <w:rFonts w:ascii="Times New Roman" w:hAnsi="Times New Roman"/>
          <w:bCs/>
          <w:noProof/>
          <w:sz w:val="24"/>
          <w:szCs w:val="24"/>
        </w:rPr>
        <w:t xml:space="preserve"> in funzione delle diverse esigenze delle donne e degli uomini </w:t>
      </w:r>
      <w:r w:rsidR="00D63F57">
        <w:rPr>
          <w:rFonts w:ascii="Times New Roman" w:hAnsi="Times New Roman"/>
          <w:bCs/>
          <w:noProof/>
          <w:sz w:val="24"/>
          <w:szCs w:val="24"/>
        </w:rPr>
        <w:t>dei territori</w:t>
      </w:r>
      <w:r w:rsidRPr="00FA2E68">
        <w:rPr>
          <w:rFonts w:ascii="Times New Roman" w:hAnsi="Times New Roman"/>
          <w:bCs/>
          <w:noProof/>
          <w:sz w:val="24"/>
          <w:szCs w:val="24"/>
        </w:rPr>
        <w:t xml:space="preserve"> di riferimento, </w:t>
      </w:r>
      <w:r w:rsidR="00D63F57">
        <w:rPr>
          <w:rFonts w:ascii="Times New Roman" w:hAnsi="Times New Roman"/>
          <w:bCs/>
          <w:noProof/>
          <w:sz w:val="24"/>
          <w:szCs w:val="24"/>
        </w:rPr>
        <w:t>la Direttiva auspica</w:t>
      </w:r>
      <w:r w:rsidRPr="00FA2E68">
        <w:rPr>
          <w:rFonts w:ascii="Times New Roman" w:hAnsi="Times New Roman"/>
          <w:bCs/>
          <w:noProof/>
          <w:sz w:val="24"/>
          <w:szCs w:val="24"/>
        </w:rPr>
        <w:t xml:space="preserve"> che la predisposizione dei bilanci di genere</w:t>
      </w:r>
      <w:r w:rsidR="00D63F57">
        <w:rPr>
          <w:rFonts w:ascii="Times New Roman" w:hAnsi="Times New Roman"/>
          <w:bCs/>
          <w:noProof/>
          <w:sz w:val="24"/>
          <w:szCs w:val="24"/>
        </w:rPr>
        <w:t>,</w:t>
      </w:r>
      <w:r w:rsidRPr="00FA2E68">
        <w:rPr>
          <w:rFonts w:ascii="Times New Roman" w:hAnsi="Times New Roman"/>
          <w:bCs/>
          <w:noProof/>
          <w:sz w:val="24"/>
          <w:szCs w:val="24"/>
        </w:rPr>
        <w:t xml:space="preserve"> di cui all’art. 38-septies della legge n. 196 del 2009 e alla circolare </w:t>
      </w:r>
      <w:r w:rsidR="00D63F57">
        <w:rPr>
          <w:rFonts w:ascii="Times New Roman" w:hAnsi="Times New Roman"/>
          <w:bCs/>
          <w:noProof/>
          <w:sz w:val="24"/>
          <w:szCs w:val="24"/>
        </w:rPr>
        <w:t>RGS</w:t>
      </w:r>
      <w:r w:rsidRPr="00FA2E68">
        <w:rPr>
          <w:rFonts w:ascii="Times New Roman" w:hAnsi="Times New Roman"/>
          <w:bCs/>
          <w:noProof/>
          <w:sz w:val="24"/>
          <w:szCs w:val="24"/>
        </w:rPr>
        <w:t xml:space="preserve"> n. 9 del 29 marzo 2019, diventi una pratica consolidata nelle attività di rendicontazione sociale delle amministrazioni.</w:t>
      </w:r>
    </w:p>
    <w:p w:rsidR="00B76432" w:rsidRDefault="00B76432" w:rsidP="00B76432">
      <w:pPr>
        <w:spacing w:line="360" w:lineRule="auto"/>
        <w:ind w:firstLine="992"/>
        <w:jc w:val="both"/>
        <w:rPr>
          <w:rFonts w:ascii="Times New Roman" w:hAnsi="Times New Roman"/>
          <w:bCs/>
          <w:noProof/>
          <w:sz w:val="24"/>
          <w:szCs w:val="24"/>
        </w:rPr>
      </w:pPr>
      <w:bookmarkStart w:id="4" w:name="_Toc12477279"/>
      <w:r>
        <w:rPr>
          <w:rFonts w:ascii="Times New Roman" w:hAnsi="Times New Roman"/>
          <w:b/>
          <w:bCs/>
          <w:noProof/>
          <w:sz w:val="24"/>
          <w:szCs w:val="24"/>
        </w:rPr>
        <w:t xml:space="preserve">Al punto 3. </w:t>
      </w:r>
      <w:r w:rsidRPr="00B76432">
        <w:rPr>
          <w:rFonts w:ascii="Times New Roman" w:hAnsi="Times New Roman"/>
          <w:b/>
          <w:bCs/>
          <w:noProof/>
          <w:sz w:val="24"/>
          <w:szCs w:val="24"/>
        </w:rPr>
        <w:t>6 Rafforzamento dei Comitati unici di garanzia</w:t>
      </w:r>
      <w:bookmarkEnd w:id="4"/>
      <w:r>
        <w:rPr>
          <w:rFonts w:ascii="Times New Roman" w:hAnsi="Times New Roman"/>
          <w:b/>
          <w:bCs/>
          <w:noProof/>
          <w:sz w:val="24"/>
          <w:szCs w:val="24"/>
        </w:rPr>
        <w:t xml:space="preserve">, </w:t>
      </w:r>
      <w:r w:rsidRPr="00B76432">
        <w:rPr>
          <w:rFonts w:ascii="Times New Roman" w:hAnsi="Times New Roman"/>
          <w:bCs/>
          <w:noProof/>
          <w:sz w:val="24"/>
          <w:szCs w:val="24"/>
        </w:rPr>
        <w:t>la Direttiva introduce il concetto di rinnovabilità del mandato dei componenti</w:t>
      </w:r>
      <w:r w:rsidR="00DB27EB">
        <w:rPr>
          <w:rFonts w:ascii="Times New Roman" w:hAnsi="Times New Roman"/>
          <w:bCs/>
          <w:noProof/>
          <w:sz w:val="24"/>
          <w:szCs w:val="24"/>
        </w:rPr>
        <w:t>. Pertanto, a</w:t>
      </w:r>
      <w:r w:rsidRPr="00B76432">
        <w:rPr>
          <w:rFonts w:ascii="Times New Roman" w:hAnsi="Times New Roman"/>
          <w:bCs/>
          <w:noProof/>
          <w:sz w:val="24"/>
          <w:szCs w:val="24"/>
        </w:rPr>
        <w:t>l fine di non disperdere il patrimonio di esperienza maturato</w:t>
      </w:r>
      <w:r>
        <w:rPr>
          <w:rFonts w:ascii="Times New Roman" w:hAnsi="Times New Roman"/>
          <w:bCs/>
          <w:noProof/>
          <w:sz w:val="24"/>
          <w:szCs w:val="24"/>
        </w:rPr>
        <w:t>,</w:t>
      </w:r>
      <w:r>
        <w:rPr>
          <w:rFonts w:ascii="Helvetica" w:hAnsi="Helvetica" w:cs="Helvetica"/>
          <w:color w:val="333333"/>
          <w:spacing w:val="3"/>
          <w:sz w:val="27"/>
          <w:szCs w:val="27"/>
          <w:shd w:val="clear" w:color="auto" w:fill="FFFFFF"/>
        </w:rPr>
        <w:t> </w:t>
      </w:r>
      <w:r w:rsidRPr="00B76432">
        <w:rPr>
          <w:rFonts w:ascii="Times New Roman" w:hAnsi="Times New Roman"/>
          <w:bCs/>
          <w:noProof/>
          <w:sz w:val="24"/>
          <w:szCs w:val="24"/>
        </w:rPr>
        <w:t xml:space="preserve">il mandato dei componenti del CUG è rinnovabile purché gli stessi soggetti risultino, ad esito della procedura comparativa </w:t>
      </w:r>
      <w:r w:rsidR="00DB27EB">
        <w:rPr>
          <w:rFonts w:ascii="Times New Roman" w:hAnsi="Times New Roman"/>
          <w:bCs/>
          <w:noProof/>
          <w:sz w:val="24"/>
          <w:szCs w:val="24"/>
        </w:rPr>
        <w:t xml:space="preserve">da porre in essere al momento del rinnovo del Comitato, </w:t>
      </w:r>
      <w:r w:rsidRPr="00B76432">
        <w:rPr>
          <w:rFonts w:ascii="Times New Roman" w:hAnsi="Times New Roman"/>
          <w:bCs/>
          <w:noProof/>
          <w:sz w:val="24"/>
          <w:szCs w:val="24"/>
        </w:rPr>
        <w:t>e tenuto conto dell’attività già svolta, i più idonei allo svolgimento dell’incarico.</w:t>
      </w:r>
    </w:p>
    <w:p w:rsidR="00DB27EB" w:rsidRDefault="00DB27EB" w:rsidP="00B76432">
      <w:pPr>
        <w:spacing w:line="360" w:lineRule="auto"/>
        <w:ind w:firstLine="992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Di seguito la Direttiva precisa che il </w:t>
      </w:r>
      <w:r w:rsidRPr="00DB27EB">
        <w:rPr>
          <w:rFonts w:ascii="Times New Roman" w:hAnsi="Times New Roman"/>
          <w:b/>
          <w:bCs/>
          <w:noProof/>
          <w:sz w:val="24"/>
          <w:szCs w:val="24"/>
        </w:rPr>
        <w:t>CUG</w:t>
      </w:r>
      <w:r>
        <w:rPr>
          <w:rFonts w:ascii="Times New Roman" w:hAnsi="Times New Roman"/>
          <w:bCs/>
          <w:noProof/>
          <w:sz w:val="24"/>
          <w:szCs w:val="24"/>
        </w:rPr>
        <w:t xml:space="preserve">, nel’ambito della propria </w:t>
      </w:r>
      <w:r w:rsidRPr="00DB27EB">
        <w:rPr>
          <w:rFonts w:ascii="Times New Roman" w:hAnsi="Times New Roman"/>
          <w:b/>
          <w:bCs/>
          <w:noProof/>
          <w:sz w:val="24"/>
          <w:szCs w:val="24"/>
          <w:u w:val="single"/>
        </w:rPr>
        <w:t>funzione consultiva</w:t>
      </w:r>
      <w:r w:rsidRPr="00DB27EB">
        <w:rPr>
          <w:rFonts w:ascii="Times New Roman" w:hAnsi="Times New Roman"/>
          <w:bCs/>
          <w:noProof/>
          <w:sz w:val="24"/>
          <w:szCs w:val="24"/>
        </w:rPr>
        <w:t xml:space="preserve">,  svolge un’azione di prevenzione delle potenziali situazioni di discriminazione perché chiamato a </w:t>
      </w:r>
      <w:r w:rsidRPr="00DB27EB">
        <w:rPr>
          <w:rFonts w:ascii="Times New Roman" w:hAnsi="Times New Roman"/>
          <w:bCs/>
          <w:noProof/>
          <w:sz w:val="24"/>
          <w:szCs w:val="24"/>
        </w:rPr>
        <w:lastRenderedPageBreak/>
        <w:t xml:space="preserve">formulare pareri sui progetti di riorganizzazione dell’amministrazione di appartenenza, sui piani di formazionedel personale, sulle forme di flessibilità lavorativa, sugli interventi diconciliazione,nonché sui criteri di valutazione del personale. A tale proposito si richiama l’attenzione delle amministrazioni affinché provvedano </w:t>
      </w:r>
      <w:r w:rsidRPr="00DB27EB">
        <w:rPr>
          <w:rFonts w:ascii="Times New Roman" w:hAnsi="Times New Roman"/>
          <w:b/>
          <w:bCs/>
          <w:noProof/>
          <w:sz w:val="24"/>
          <w:szCs w:val="24"/>
        </w:rPr>
        <w:t>sempre ad acquisire il parere del CUG al riguardo</w:t>
      </w:r>
      <w:r w:rsidRPr="00DB27EB">
        <w:rPr>
          <w:rFonts w:ascii="Times New Roman" w:hAnsi="Times New Roman"/>
          <w:bCs/>
          <w:noProof/>
          <w:sz w:val="24"/>
          <w:szCs w:val="24"/>
        </w:rPr>
        <w:t>.</w:t>
      </w:r>
    </w:p>
    <w:p w:rsidR="00B76432" w:rsidRDefault="00DB27EB" w:rsidP="00B76432">
      <w:pPr>
        <w:spacing w:line="360" w:lineRule="auto"/>
        <w:ind w:firstLine="992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E’ riconosciuto al</w:t>
      </w:r>
      <w:r w:rsidRPr="00DB27EB">
        <w:rPr>
          <w:rFonts w:ascii="Times New Roman" w:hAnsi="Times New Roman"/>
          <w:bCs/>
          <w:noProof/>
          <w:sz w:val="24"/>
          <w:szCs w:val="24"/>
        </w:rPr>
        <w:t xml:space="preserve"> CUG </w:t>
      </w:r>
      <w:r>
        <w:rPr>
          <w:rFonts w:ascii="Times New Roman" w:hAnsi="Times New Roman"/>
          <w:bCs/>
          <w:noProof/>
          <w:sz w:val="24"/>
          <w:szCs w:val="24"/>
        </w:rPr>
        <w:t>lo svolgimento di</w:t>
      </w:r>
      <w:r w:rsidRPr="00DB27EB">
        <w:rPr>
          <w:rFonts w:ascii="Times New Roman" w:hAnsi="Times New Roman"/>
          <w:bCs/>
          <w:noProof/>
          <w:sz w:val="24"/>
          <w:szCs w:val="24"/>
        </w:rPr>
        <w:t xml:space="preserve"> importanti funzioni di verifica in ordine all’assenza di qualsiasi forma di violenza o discriminazione, diretta o indiretta, nel luogo di lavoro pubblico. In riferimento a quest’ultimo aspetto, </w:t>
      </w:r>
      <w:r>
        <w:rPr>
          <w:rFonts w:ascii="Times New Roman" w:hAnsi="Times New Roman"/>
          <w:bCs/>
          <w:noProof/>
          <w:sz w:val="24"/>
          <w:szCs w:val="24"/>
        </w:rPr>
        <w:t xml:space="preserve">la Direttiva indica </w:t>
      </w:r>
      <w:r w:rsidRPr="00DB27EB">
        <w:rPr>
          <w:rFonts w:ascii="Times New Roman" w:hAnsi="Times New Roman"/>
          <w:bCs/>
          <w:noProof/>
          <w:sz w:val="24"/>
          <w:szCs w:val="24"/>
        </w:rPr>
        <w:t xml:space="preserve">che i </w:t>
      </w:r>
      <w:r w:rsidRPr="00DB27EB">
        <w:rPr>
          <w:rFonts w:ascii="Times New Roman" w:hAnsi="Times New Roman"/>
          <w:b/>
          <w:bCs/>
          <w:noProof/>
          <w:sz w:val="24"/>
          <w:szCs w:val="24"/>
        </w:rPr>
        <w:t>CUG possano fungere</w:t>
      </w:r>
      <w:r w:rsidRPr="00DB27EB">
        <w:rPr>
          <w:rFonts w:ascii="Times New Roman" w:hAnsi="Times New Roman"/>
          <w:bCs/>
          <w:noProof/>
          <w:sz w:val="24"/>
          <w:szCs w:val="24"/>
        </w:rPr>
        <w:t xml:space="preserve">, all’interno dell’amministrazione pubblica, </w:t>
      </w:r>
      <w:r w:rsidRPr="00DB27EB">
        <w:rPr>
          <w:rFonts w:ascii="Times New Roman" w:hAnsi="Times New Roman"/>
          <w:b/>
          <w:bCs/>
          <w:noProof/>
          <w:sz w:val="24"/>
          <w:szCs w:val="24"/>
        </w:rPr>
        <w:t>da importanti sensori delle situazioni di malessere</w:t>
      </w:r>
      <w:r w:rsidRPr="00DB27EB">
        <w:rPr>
          <w:rFonts w:ascii="Times New Roman" w:hAnsi="Times New Roman"/>
          <w:bCs/>
          <w:noProof/>
          <w:sz w:val="24"/>
          <w:szCs w:val="24"/>
        </w:rPr>
        <w:t xml:space="preserve"> collegate alla violenza e alla discriminazione, anche al fine di segnalare le suddette situazioni ai soggetti funzionalmente e territorialmente competenti. Al fine di potenziare tale funzione di verifica, il </w:t>
      </w:r>
      <w:r w:rsidRPr="00DB27EB">
        <w:rPr>
          <w:rFonts w:ascii="Times New Roman" w:hAnsi="Times New Roman"/>
          <w:b/>
          <w:bCs/>
          <w:noProof/>
          <w:sz w:val="24"/>
          <w:szCs w:val="24"/>
        </w:rPr>
        <w:t>Presidente del Comitato promuove la costituzione, in collaborazione con l’ufficio competente per la gestione del personale, di un Nucleo di ascolto organizzato interno all’amministrazione.</w:t>
      </w:r>
    </w:p>
    <w:p w:rsidR="00DB27EB" w:rsidRDefault="00DB27EB" w:rsidP="00B76432">
      <w:pPr>
        <w:spacing w:line="360" w:lineRule="auto"/>
        <w:ind w:firstLine="992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S</w:t>
      </w:r>
      <w:r w:rsidRPr="00DB27EB">
        <w:rPr>
          <w:rFonts w:ascii="Times New Roman" w:hAnsi="Times New Roman"/>
          <w:bCs/>
          <w:noProof/>
          <w:sz w:val="24"/>
          <w:szCs w:val="24"/>
        </w:rPr>
        <w:t xml:space="preserve">i </w:t>
      </w:r>
      <w:r>
        <w:rPr>
          <w:rFonts w:ascii="Times New Roman" w:hAnsi="Times New Roman"/>
          <w:bCs/>
          <w:noProof/>
          <w:sz w:val="24"/>
          <w:szCs w:val="24"/>
        </w:rPr>
        <w:t>evidenzia, in tale ambito,</w:t>
      </w:r>
      <w:r w:rsidRPr="00DB27EB">
        <w:rPr>
          <w:rFonts w:ascii="Times New Roman" w:hAnsi="Times New Roman"/>
          <w:bCs/>
          <w:noProof/>
          <w:sz w:val="24"/>
          <w:szCs w:val="24"/>
        </w:rPr>
        <w:t xml:space="preserve"> che </w:t>
      </w:r>
      <w:r>
        <w:rPr>
          <w:rFonts w:ascii="Times New Roman" w:hAnsi="Times New Roman"/>
          <w:bCs/>
          <w:noProof/>
          <w:sz w:val="24"/>
          <w:szCs w:val="24"/>
        </w:rPr>
        <w:t xml:space="preserve">il </w:t>
      </w:r>
      <w:r w:rsidRPr="00DB27EB">
        <w:rPr>
          <w:rFonts w:ascii="Times New Roman" w:hAnsi="Times New Roman"/>
          <w:bCs/>
          <w:noProof/>
          <w:sz w:val="24"/>
          <w:szCs w:val="24"/>
        </w:rPr>
        <w:t xml:space="preserve">CUG </w:t>
      </w:r>
      <w:r>
        <w:rPr>
          <w:rFonts w:ascii="Times New Roman" w:hAnsi="Times New Roman"/>
          <w:bCs/>
          <w:noProof/>
          <w:sz w:val="24"/>
          <w:szCs w:val="24"/>
        </w:rPr>
        <w:t xml:space="preserve">può </w:t>
      </w:r>
      <w:r w:rsidRPr="00DB27EB">
        <w:rPr>
          <w:rFonts w:ascii="Times New Roman" w:hAnsi="Times New Roman"/>
          <w:bCs/>
          <w:noProof/>
          <w:sz w:val="24"/>
          <w:szCs w:val="24"/>
        </w:rPr>
        <w:t>svolge</w:t>
      </w:r>
      <w:r>
        <w:rPr>
          <w:rFonts w:ascii="Times New Roman" w:hAnsi="Times New Roman"/>
          <w:bCs/>
          <w:noProof/>
          <w:sz w:val="24"/>
          <w:szCs w:val="24"/>
        </w:rPr>
        <w:t xml:space="preserve">re </w:t>
      </w:r>
      <w:r w:rsidRPr="00DB27EB">
        <w:rPr>
          <w:rFonts w:ascii="Times New Roman" w:hAnsi="Times New Roman"/>
          <w:bCs/>
          <w:noProof/>
          <w:sz w:val="24"/>
          <w:szCs w:val="24"/>
        </w:rPr>
        <w:t>un’azione di tutela nei confronti dei dipendenti che segnalino comportamenti violenti o molesti affinché non venga consentita o tollerata nei loro confronti alcuna azione persecutoria o discriminatoria diretta o indiretta.</w:t>
      </w:r>
    </w:p>
    <w:p w:rsidR="00DB27EB" w:rsidRDefault="00DB27EB" w:rsidP="00B76432">
      <w:pPr>
        <w:spacing w:line="360" w:lineRule="auto"/>
        <w:ind w:firstLine="992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DB27EB">
        <w:rPr>
          <w:rFonts w:ascii="Times New Roman" w:hAnsi="Times New Roman"/>
          <w:noProof/>
          <w:sz w:val="24"/>
          <w:szCs w:val="24"/>
        </w:rPr>
        <w:t>Infine la Direttiva</w:t>
      </w:r>
      <w:r w:rsidR="00117FB3" w:rsidRPr="00117FB3">
        <w:rPr>
          <w:rFonts w:ascii="Times New Roman" w:hAnsi="Times New Roman"/>
          <w:noProof/>
          <w:sz w:val="24"/>
          <w:szCs w:val="24"/>
        </w:rPr>
        <w:t>indica ai CUGdi</w:t>
      </w:r>
      <w:r w:rsidR="00117FB3">
        <w:rPr>
          <w:rFonts w:ascii="Times New Roman" w:hAnsi="Times New Roman"/>
          <w:b/>
          <w:noProof/>
          <w:sz w:val="24"/>
          <w:szCs w:val="24"/>
        </w:rPr>
        <w:t xml:space="preserve"> collaborare</w:t>
      </w:r>
      <w:r w:rsidRPr="00DB27EB">
        <w:rPr>
          <w:rFonts w:ascii="Times New Roman" w:hAnsi="Times New Roman"/>
          <w:b/>
          <w:noProof/>
          <w:sz w:val="24"/>
          <w:szCs w:val="24"/>
        </w:rPr>
        <w:t xml:space="preserve"> con altri organismi</w:t>
      </w:r>
      <w:r w:rsidRPr="00DB27EB">
        <w:rPr>
          <w:rFonts w:ascii="Times New Roman" w:hAnsi="Times New Roman"/>
          <w:bCs/>
          <w:noProof/>
          <w:sz w:val="24"/>
          <w:szCs w:val="24"/>
        </w:rPr>
        <w:t xml:space="preserve">, </w:t>
      </w:r>
      <w:r w:rsidR="00117FB3">
        <w:rPr>
          <w:rFonts w:ascii="Times New Roman" w:hAnsi="Times New Roman"/>
          <w:bCs/>
          <w:noProof/>
          <w:sz w:val="24"/>
          <w:szCs w:val="24"/>
        </w:rPr>
        <w:t xml:space="preserve">quindi, </w:t>
      </w:r>
      <w:r w:rsidRPr="00DB27EB">
        <w:rPr>
          <w:rFonts w:ascii="Times New Roman" w:hAnsi="Times New Roman"/>
          <w:bCs/>
          <w:noProof/>
          <w:sz w:val="24"/>
          <w:szCs w:val="24"/>
        </w:rPr>
        <w:t>per quanto di propria competenza, con il Responsabile dei processi di inserimento delle persone con disabilità di cui all’art. 39-</w:t>
      </w:r>
      <w:r w:rsidRPr="00DB27EB">
        <w:rPr>
          <w:rFonts w:ascii="Times New Roman" w:hAnsi="Times New Roman"/>
          <w:bCs/>
          <w:i/>
          <w:iCs/>
          <w:noProof/>
          <w:sz w:val="24"/>
          <w:szCs w:val="24"/>
        </w:rPr>
        <w:t>ter</w:t>
      </w:r>
      <w:r w:rsidRPr="00DB27EB">
        <w:rPr>
          <w:rFonts w:ascii="Times New Roman" w:hAnsi="Times New Roman"/>
          <w:bCs/>
          <w:noProof/>
          <w:sz w:val="24"/>
          <w:szCs w:val="24"/>
        </w:rPr>
        <w:t> del d.lgs. 165 del 2001, soprattutto con riferimento alla verifica della piena attuazione dei processi di inserimento, assicurando la rimozione di eventuali situazioni di disagio e di difficoltà di integrazion</w:t>
      </w:r>
      <w:r w:rsidR="00117FB3">
        <w:rPr>
          <w:rFonts w:ascii="Times New Roman" w:hAnsi="Times New Roman"/>
          <w:bCs/>
          <w:noProof/>
          <w:sz w:val="24"/>
          <w:szCs w:val="24"/>
        </w:rPr>
        <w:t xml:space="preserve">e. Inoltre, il CUG si raccorda </w:t>
      </w:r>
      <w:r w:rsidRPr="00DB27EB">
        <w:rPr>
          <w:rFonts w:ascii="Times New Roman" w:hAnsi="Times New Roman"/>
          <w:bCs/>
          <w:noProof/>
          <w:sz w:val="24"/>
          <w:szCs w:val="24"/>
        </w:rPr>
        <w:t xml:space="preserve">con la Consigliera di parità, </w:t>
      </w:r>
      <w:r w:rsidR="00117FB3">
        <w:rPr>
          <w:rFonts w:ascii="Times New Roman" w:hAnsi="Times New Roman"/>
          <w:bCs/>
          <w:noProof/>
          <w:sz w:val="24"/>
          <w:szCs w:val="24"/>
        </w:rPr>
        <w:t xml:space="preserve">con </w:t>
      </w:r>
      <w:r w:rsidRPr="00DB27EB">
        <w:rPr>
          <w:rFonts w:ascii="Times New Roman" w:hAnsi="Times New Roman"/>
          <w:bCs/>
          <w:noProof/>
          <w:sz w:val="24"/>
          <w:szCs w:val="24"/>
        </w:rPr>
        <w:t>la Consigliera di fiducia</w:t>
      </w:r>
      <w:r w:rsidR="00117FB3">
        <w:rPr>
          <w:rFonts w:ascii="Times New Roman" w:hAnsi="Times New Roman"/>
          <w:bCs/>
          <w:noProof/>
          <w:sz w:val="24"/>
          <w:szCs w:val="24"/>
        </w:rPr>
        <w:t>, ove sia stata nominata</w:t>
      </w:r>
      <w:r w:rsidRPr="00DB27EB">
        <w:rPr>
          <w:rFonts w:ascii="Times New Roman" w:hAnsi="Times New Roman"/>
          <w:bCs/>
          <w:noProof/>
          <w:sz w:val="24"/>
          <w:szCs w:val="24"/>
        </w:rPr>
        <w:t xml:space="preserve">, </w:t>
      </w:r>
      <w:r w:rsidR="00117FB3">
        <w:rPr>
          <w:rFonts w:ascii="Times New Roman" w:hAnsi="Times New Roman"/>
          <w:bCs/>
          <w:noProof/>
          <w:sz w:val="24"/>
          <w:szCs w:val="24"/>
        </w:rPr>
        <w:t xml:space="preserve">con </w:t>
      </w:r>
      <w:r w:rsidRPr="00DB27EB">
        <w:rPr>
          <w:rFonts w:ascii="Times New Roman" w:hAnsi="Times New Roman"/>
          <w:bCs/>
          <w:noProof/>
          <w:sz w:val="24"/>
          <w:szCs w:val="24"/>
        </w:rPr>
        <w:t>l’OIV, il RSSPP, il Responsabile delle risorse umane e con gli altri Organismi contrattualmente previsti.</w:t>
      </w:r>
    </w:p>
    <w:p w:rsidR="0038647E" w:rsidRDefault="0038647E" w:rsidP="0038647E">
      <w:pPr>
        <w:spacing w:line="360" w:lineRule="auto"/>
        <w:ind w:firstLine="992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Ancora alcune novità vengono introdotte, a</w:t>
      </w:r>
      <w:r w:rsidRPr="0038647E">
        <w:rPr>
          <w:rFonts w:ascii="Times New Roman" w:hAnsi="Times New Roman"/>
          <w:bCs/>
          <w:noProof/>
          <w:sz w:val="24"/>
          <w:szCs w:val="24"/>
        </w:rPr>
        <w:t>l fine di ridurre gli oneri informativi a carico delle amministrazioni e di facilitare l’accesso e la comprensibilità delle informazioni relative allo stato di attuazione delle disposizioni in materia di pari opportunità</w:t>
      </w:r>
      <w:r>
        <w:rPr>
          <w:rFonts w:ascii="Times New Roman" w:hAnsi="Times New Roman"/>
          <w:bCs/>
          <w:noProof/>
          <w:sz w:val="24"/>
          <w:szCs w:val="24"/>
        </w:rPr>
        <w:t>. Pertanto</w:t>
      </w:r>
      <w:r w:rsidRPr="0038647E">
        <w:rPr>
          <w:rFonts w:ascii="Times New Roman" w:hAnsi="Times New Roman"/>
          <w:bCs/>
          <w:noProof/>
          <w:sz w:val="24"/>
          <w:szCs w:val="24"/>
        </w:rPr>
        <w:t xml:space="preserve"> a decorrere dalla data</w:t>
      </w:r>
      <w:r>
        <w:rPr>
          <w:rFonts w:ascii="Times New Roman" w:hAnsi="Times New Roman"/>
          <w:bCs/>
          <w:noProof/>
          <w:sz w:val="24"/>
          <w:szCs w:val="24"/>
        </w:rPr>
        <w:t xml:space="preserve"> di entrata in vigore della</w:t>
      </w:r>
      <w:r w:rsidRPr="0038647E">
        <w:rPr>
          <w:rFonts w:ascii="Times New Roman" w:hAnsi="Times New Roman"/>
          <w:bCs/>
          <w:noProof/>
          <w:sz w:val="24"/>
          <w:szCs w:val="24"/>
        </w:rPr>
        <w:t xml:space="preserve"> direttiva le amministrazioni non dovranno più redigere, entro il 20 febbraio di ciascun anno, la relazione prevista dalla direttiva 23 maggio 2007.</w:t>
      </w:r>
      <w:r>
        <w:rPr>
          <w:rFonts w:ascii="Times New Roman" w:hAnsi="Times New Roman"/>
          <w:bCs/>
          <w:noProof/>
          <w:sz w:val="24"/>
          <w:szCs w:val="24"/>
        </w:rPr>
        <w:t xml:space="preserve"> Altresì </w:t>
      </w:r>
      <w:r w:rsidRPr="0038647E">
        <w:rPr>
          <w:rFonts w:ascii="Times New Roman" w:hAnsi="Times New Roman"/>
          <w:b/>
          <w:bCs/>
          <w:noProof/>
          <w:sz w:val="24"/>
          <w:szCs w:val="24"/>
        </w:rPr>
        <w:t>l’amministrazionedovrà trasmettere al CUG</w:t>
      </w:r>
      <w:r w:rsidRPr="0038647E">
        <w:rPr>
          <w:rFonts w:ascii="Times New Roman" w:hAnsi="Times New Roman"/>
          <w:bCs/>
          <w:noProof/>
          <w:sz w:val="24"/>
          <w:szCs w:val="24"/>
        </w:rPr>
        <w:t xml:space="preserve">, secondo il </w:t>
      </w:r>
      <w:r w:rsidRPr="0038647E">
        <w:rPr>
          <w:rFonts w:ascii="Times New Roman" w:hAnsi="Times New Roman"/>
          <w:b/>
          <w:bCs/>
          <w:noProof/>
          <w:sz w:val="24"/>
          <w:szCs w:val="24"/>
        </w:rPr>
        <w:t>format</w:t>
      </w:r>
      <w:r w:rsidRPr="0038647E">
        <w:rPr>
          <w:rFonts w:ascii="Times New Roman" w:hAnsi="Times New Roman"/>
          <w:bCs/>
          <w:noProof/>
          <w:sz w:val="24"/>
          <w:szCs w:val="24"/>
        </w:rPr>
        <w:t xml:space="preserve"> messo a disposizione dalla Presidenza del Consiglio dei ministri – Dipartimento della funzione pubblica e Dipartimento per le pari opportunità </w:t>
      </w:r>
      <w:r>
        <w:rPr>
          <w:rFonts w:ascii="Times New Roman" w:hAnsi="Times New Roman"/>
          <w:bCs/>
          <w:noProof/>
          <w:sz w:val="24"/>
          <w:szCs w:val="24"/>
        </w:rPr>
        <w:t>–una serie di informazioni</w:t>
      </w:r>
      <w:r w:rsidRPr="0038647E">
        <w:rPr>
          <w:rFonts w:ascii="Times New Roman" w:hAnsi="Times New Roman"/>
          <w:b/>
          <w:bCs/>
          <w:noProof/>
          <w:sz w:val="24"/>
          <w:szCs w:val="24"/>
        </w:rPr>
        <w:t>entro il 1° marzo di ciascun anno</w:t>
      </w:r>
      <w:r w:rsidRPr="0038647E">
        <w:rPr>
          <w:rFonts w:ascii="Times New Roman" w:hAnsi="Times New Roman"/>
          <w:bCs/>
          <w:noProof/>
          <w:sz w:val="24"/>
          <w:szCs w:val="24"/>
        </w:rPr>
        <w:t>:</w:t>
      </w:r>
    </w:p>
    <w:p w:rsidR="0038647E" w:rsidRPr="0038647E" w:rsidRDefault="0038647E" w:rsidP="0038647E">
      <w:pPr>
        <w:pStyle w:val="Paragrafoelenco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38647E">
        <w:rPr>
          <w:rFonts w:ascii="Times New Roman" w:hAnsi="Times New Roman"/>
          <w:bCs/>
          <w:noProof/>
          <w:sz w:val="24"/>
          <w:szCs w:val="24"/>
        </w:rPr>
        <w:lastRenderedPageBreak/>
        <w:t>l’analisi quantitativa del personale suddiviso per genere e per appartenenza alle aree funzionali e alla dirigenza, distinta per fascia dirigenziale di appartenenza e per tipologia di incarico conferito ai sensi dell’articolo 19 del d.lgs. n. 165 del 2001;</w:t>
      </w:r>
    </w:p>
    <w:p w:rsidR="0038647E" w:rsidRPr="0038647E" w:rsidRDefault="0038647E" w:rsidP="0038647E">
      <w:pPr>
        <w:pStyle w:val="Paragrafoelenco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38647E">
        <w:rPr>
          <w:rFonts w:ascii="Times New Roman" w:hAnsi="Times New Roman"/>
          <w:bCs/>
          <w:noProof/>
          <w:sz w:val="24"/>
          <w:szCs w:val="24"/>
        </w:rPr>
        <w:t>l’indicazione aggregata distinta per genere delle retribuzioni medie, evidenziando le eventuali differenze tra i generi;</w:t>
      </w:r>
    </w:p>
    <w:p w:rsidR="0038647E" w:rsidRPr="0038647E" w:rsidRDefault="0038647E" w:rsidP="0038647E">
      <w:pPr>
        <w:pStyle w:val="Paragrafoelenco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38647E">
        <w:rPr>
          <w:rFonts w:ascii="Times New Roman" w:hAnsi="Times New Roman"/>
          <w:bCs/>
          <w:noProof/>
          <w:sz w:val="24"/>
          <w:szCs w:val="24"/>
        </w:rPr>
        <w:t>la descrizione delle azioni realizzate nell’anno precedente con l’evidenziazione, per ciascuna di esse, dei capitoli di spesa e dell’ammontare delle risorse impiegate;</w:t>
      </w:r>
    </w:p>
    <w:p w:rsidR="0038647E" w:rsidRPr="0038647E" w:rsidRDefault="0038647E" w:rsidP="0038647E">
      <w:pPr>
        <w:pStyle w:val="Paragrafoelenco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38647E">
        <w:rPr>
          <w:rFonts w:ascii="Times New Roman" w:hAnsi="Times New Roman"/>
          <w:bCs/>
          <w:noProof/>
          <w:sz w:val="24"/>
          <w:szCs w:val="24"/>
        </w:rPr>
        <w:t>l’indicazione dei risultati raggiunti con le azioni positive intraprese al fine di prevenire e rimuovere ogni forma di discriminazione, con l’indicazione dell’incidenza in termini di genere sul personale;</w:t>
      </w:r>
    </w:p>
    <w:p w:rsidR="0038647E" w:rsidRPr="0038647E" w:rsidRDefault="0038647E" w:rsidP="0038647E">
      <w:pPr>
        <w:pStyle w:val="Paragrafoelenco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38647E">
        <w:rPr>
          <w:rFonts w:ascii="Times New Roman" w:hAnsi="Times New Roman"/>
          <w:bCs/>
          <w:noProof/>
          <w:sz w:val="24"/>
          <w:szCs w:val="24"/>
        </w:rPr>
        <w:t>la descrizione delle azioni da realizzare negli anni successivi con l’evidenziazione, per ciascuna di esse, dei capitoli di spesa e dell’ammontare delle risorse da impegnare;</w:t>
      </w:r>
    </w:p>
    <w:p w:rsidR="0038647E" w:rsidRPr="0038647E" w:rsidRDefault="0038647E" w:rsidP="0038647E">
      <w:pPr>
        <w:pStyle w:val="Paragrafoelenco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38647E">
        <w:rPr>
          <w:rFonts w:ascii="Times New Roman" w:hAnsi="Times New Roman"/>
          <w:bCs/>
          <w:noProof/>
          <w:sz w:val="24"/>
          <w:szCs w:val="24"/>
        </w:rPr>
        <w:t>il bilancio di genere dell’amministrazione.</w:t>
      </w:r>
    </w:p>
    <w:p w:rsidR="009D5086" w:rsidRDefault="0038647E" w:rsidP="009D5086">
      <w:pPr>
        <w:spacing w:line="360" w:lineRule="auto"/>
        <w:ind w:firstLine="993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38647E">
        <w:rPr>
          <w:rFonts w:ascii="Times New Roman" w:hAnsi="Times New Roman"/>
          <w:bCs/>
          <w:noProof/>
          <w:sz w:val="24"/>
          <w:szCs w:val="24"/>
        </w:rPr>
        <w:t xml:space="preserve">Le predette informazioni saranno oggetto di analisi e verifica da parte del Comitato </w:t>
      </w:r>
      <w:r>
        <w:rPr>
          <w:rFonts w:ascii="Times New Roman" w:hAnsi="Times New Roman"/>
          <w:bCs/>
          <w:noProof/>
          <w:sz w:val="24"/>
          <w:szCs w:val="24"/>
        </w:rPr>
        <w:t xml:space="preserve">e </w:t>
      </w:r>
      <w:r w:rsidRPr="0038647E">
        <w:rPr>
          <w:rFonts w:ascii="Times New Roman" w:hAnsi="Times New Roman"/>
          <w:bCs/>
          <w:noProof/>
          <w:sz w:val="24"/>
          <w:szCs w:val="24"/>
        </w:rPr>
        <w:t xml:space="preserve">confluiranno integralmente </w:t>
      </w:r>
      <w:r w:rsidR="009D5086">
        <w:rPr>
          <w:rFonts w:ascii="Times New Roman" w:hAnsi="Times New Roman"/>
          <w:bCs/>
          <w:noProof/>
          <w:sz w:val="24"/>
          <w:szCs w:val="24"/>
        </w:rPr>
        <w:t xml:space="preserve">quale </w:t>
      </w:r>
      <w:r w:rsidRPr="0038647E">
        <w:rPr>
          <w:rFonts w:ascii="Times New Roman" w:hAnsi="Times New Roman"/>
          <w:bCs/>
          <w:noProof/>
          <w:sz w:val="24"/>
          <w:szCs w:val="24"/>
        </w:rPr>
        <w:t>allegato alla relazione che il CUG predispone </w:t>
      </w:r>
      <w:r w:rsidRPr="0038647E">
        <w:rPr>
          <w:rFonts w:ascii="Times New Roman" w:hAnsi="Times New Roman"/>
          <w:b/>
          <w:noProof/>
          <w:sz w:val="24"/>
          <w:szCs w:val="24"/>
        </w:rPr>
        <w:t>entro il 30 marzo</w:t>
      </w:r>
      <w:r>
        <w:rPr>
          <w:rFonts w:ascii="Times New Roman" w:hAnsi="Times New Roman"/>
          <w:b/>
          <w:noProof/>
          <w:sz w:val="24"/>
          <w:szCs w:val="24"/>
        </w:rPr>
        <w:t xml:space="preserve">, </w:t>
      </w:r>
      <w:r w:rsidRPr="0038647E">
        <w:rPr>
          <w:rFonts w:ascii="Times New Roman" w:hAnsi="Times New Roman"/>
          <w:bCs/>
          <w:noProof/>
          <w:sz w:val="24"/>
          <w:szCs w:val="24"/>
        </w:rPr>
        <w:t> </w:t>
      </w:r>
      <w:r>
        <w:rPr>
          <w:rFonts w:ascii="Times New Roman" w:hAnsi="Times New Roman"/>
          <w:bCs/>
          <w:noProof/>
          <w:sz w:val="24"/>
          <w:szCs w:val="24"/>
        </w:rPr>
        <w:t xml:space="preserve">che come già detto </w:t>
      </w:r>
      <w:r w:rsidR="009D5086">
        <w:rPr>
          <w:rFonts w:ascii="Times New Roman" w:hAnsi="Times New Roman"/>
          <w:bCs/>
          <w:noProof/>
          <w:sz w:val="24"/>
          <w:szCs w:val="24"/>
        </w:rPr>
        <w:t>viene</w:t>
      </w:r>
      <w:r>
        <w:rPr>
          <w:rFonts w:ascii="Times New Roman" w:hAnsi="Times New Roman"/>
          <w:bCs/>
          <w:noProof/>
          <w:sz w:val="24"/>
          <w:szCs w:val="24"/>
        </w:rPr>
        <w:t xml:space="preserve"> inoltrata</w:t>
      </w:r>
      <w:r w:rsidRPr="00917880">
        <w:rPr>
          <w:rFonts w:ascii="Times New Roman" w:hAnsi="Times New Roman"/>
          <w:bCs/>
          <w:noProof/>
          <w:sz w:val="24"/>
          <w:szCs w:val="24"/>
        </w:rPr>
        <w:t xml:space="preserve"> agli organi di indirizzo politico-amministrativo</w:t>
      </w:r>
      <w:r w:rsidR="009D5086">
        <w:rPr>
          <w:rFonts w:ascii="Times New Roman" w:hAnsi="Times New Roman"/>
          <w:bCs/>
          <w:noProof/>
          <w:sz w:val="24"/>
          <w:szCs w:val="24"/>
        </w:rPr>
        <w:t xml:space="preserve"> ed all’OIV unitamente al monitoraggio dell’attuazione del Piano triennale di azioni positive.</w:t>
      </w:r>
    </w:p>
    <w:p w:rsidR="009D5086" w:rsidRDefault="009D5086" w:rsidP="009D5086">
      <w:pPr>
        <w:spacing w:line="360" w:lineRule="auto"/>
        <w:ind w:firstLine="993"/>
        <w:jc w:val="both"/>
        <w:rPr>
          <w:rFonts w:ascii="Times New Roman" w:hAnsi="Times New Roman"/>
          <w:bCs/>
          <w:noProof/>
          <w:sz w:val="24"/>
          <w:szCs w:val="24"/>
        </w:rPr>
      </w:pPr>
    </w:p>
    <w:p w:rsidR="00123B74" w:rsidRDefault="0038647E" w:rsidP="009D5086">
      <w:pPr>
        <w:spacing w:line="360" w:lineRule="auto"/>
        <w:ind w:firstLine="993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9D5086">
        <w:rPr>
          <w:rFonts w:ascii="Times New Roman" w:hAnsi="Times New Roman"/>
          <w:bCs/>
          <w:noProof/>
          <w:sz w:val="24"/>
          <w:szCs w:val="24"/>
        </w:rPr>
        <w:t xml:space="preserve">In </w:t>
      </w:r>
      <w:r w:rsidR="009D5086">
        <w:rPr>
          <w:rFonts w:ascii="Times New Roman" w:hAnsi="Times New Roman"/>
          <w:bCs/>
          <w:noProof/>
          <w:sz w:val="24"/>
          <w:szCs w:val="24"/>
        </w:rPr>
        <w:t xml:space="preserve">conclusione, considerando </w:t>
      </w:r>
      <w:r w:rsidRPr="009D5086">
        <w:rPr>
          <w:rFonts w:ascii="Times New Roman" w:hAnsi="Times New Roman"/>
          <w:bCs/>
          <w:noProof/>
          <w:sz w:val="24"/>
          <w:szCs w:val="24"/>
        </w:rPr>
        <w:t>che le amministrazioni sono tenute, in base a quanto previsto dalla Direttiva, ad adottare tutte le iniziative necessarie alla sua attuazione, anche promuovendo la collaborazione fra CUG, OIV e gli altri Organismi, si auspica che al più presto sia convocato un incontro tra tutti i soggetti coinvolti.</w:t>
      </w:r>
    </w:p>
    <w:p w:rsidR="009D5086" w:rsidRDefault="009D5086" w:rsidP="009D5086">
      <w:pPr>
        <w:spacing w:line="360" w:lineRule="auto"/>
        <w:ind w:firstLine="993"/>
        <w:jc w:val="both"/>
        <w:rPr>
          <w:rFonts w:ascii="Times New Roman" w:hAnsi="Times New Roman"/>
          <w:bCs/>
          <w:noProof/>
          <w:sz w:val="24"/>
          <w:szCs w:val="24"/>
        </w:rPr>
      </w:pPr>
    </w:p>
    <w:p w:rsidR="009D5086" w:rsidRDefault="009D5086" w:rsidP="009D5086">
      <w:pPr>
        <w:spacing w:line="360" w:lineRule="auto"/>
        <w:ind w:firstLine="993"/>
        <w:jc w:val="center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                                             La Presidente</w:t>
      </w:r>
    </w:p>
    <w:p w:rsidR="009D5086" w:rsidRPr="009D5086" w:rsidRDefault="00A00775" w:rsidP="009D5086">
      <w:pPr>
        <w:spacing w:line="360" w:lineRule="auto"/>
        <w:ind w:firstLine="993"/>
        <w:jc w:val="center"/>
        <w:rPr>
          <w:rFonts w:ascii="Times New Roman" w:hAnsi="Times New Roman"/>
          <w:bCs/>
          <w:i/>
          <w:noProof/>
          <w:sz w:val="24"/>
          <w:szCs w:val="24"/>
        </w:rPr>
      </w:pPr>
      <w:r>
        <w:rPr>
          <w:rFonts w:ascii="Times New Roman" w:hAnsi="Times New Roman"/>
          <w:bCs/>
          <w:i/>
          <w:noProof/>
          <w:sz w:val="24"/>
          <w:szCs w:val="24"/>
        </w:rPr>
        <w:t xml:space="preserve">                                                 </w:t>
      </w:r>
      <w:r w:rsidR="009D5086" w:rsidRPr="009D5086">
        <w:rPr>
          <w:rFonts w:ascii="Times New Roman" w:hAnsi="Times New Roman"/>
          <w:bCs/>
          <w:i/>
          <w:noProof/>
          <w:sz w:val="24"/>
          <w:szCs w:val="24"/>
        </w:rPr>
        <w:t>(dott.ssa Gilda GALLERATI)</w:t>
      </w:r>
    </w:p>
    <w:p w:rsidR="00123B74" w:rsidRDefault="00123B74" w:rsidP="009D5086">
      <w:pPr>
        <w:spacing w:line="36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</w:p>
    <w:p w:rsidR="003E51FF" w:rsidRDefault="003E51FF" w:rsidP="003E51FF">
      <w:pPr>
        <w:jc w:val="right"/>
        <w:rPr>
          <w:rFonts w:ascii="Times New Roman" w:hAnsi="Times New Roman"/>
          <w:bCs/>
          <w:noProof/>
          <w:sz w:val="24"/>
          <w:szCs w:val="24"/>
        </w:rPr>
      </w:pPr>
    </w:p>
    <w:p w:rsidR="003E51FF" w:rsidRDefault="003E51FF" w:rsidP="003E51FF">
      <w:pPr>
        <w:jc w:val="right"/>
        <w:rPr>
          <w:rFonts w:ascii="Times New Roman" w:hAnsi="Times New Roman"/>
          <w:bCs/>
          <w:noProof/>
          <w:sz w:val="24"/>
          <w:szCs w:val="24"/>
        </w:rPr>
      </w:pPr>
    </w:p>
    <w:p w:rsidR="0058180D" w:rsidRDefault="007838E7" w:rsidP="003E51FF">
      <w:pPr>
        <w:jc w:val="right"/>
      </w:pPr>
    </w:p>
    <w:sectPr w:rsidR="0058180D" w:rsidSect="007B3C9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85" w:right="1134" w:bottom="1134" w:left="1134" w:header="708" w:footer="90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8E7" w:rsidRDefault="007838E7" w:rsidP="003E51FF">
      <w:r>
        <w:separator/>
      </w:r>
    </w:p>
  </w:endnote>
  <w:endnote w:type="continuationSeparator" w:id="1">
    <w:p w:rsidR="007838E7" w:rsidRDefault="007838E7" w:rsidP="003E5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F8" w:rsidRDefault="003B5CF8">
    <w:pPr>
      <w:pStyle w:val="Pidipagina"/>
    </w:pPr>
    <w:r>
      <w:ptab w:relativeTo="margin" w:alignment="center" w:leader="none"/>
    </w:r>
  </w:p>
  <w:p w:rsidR="003B5CF8" w:rsidRDefault="003B5CF8" w:rsidP="003B5CF8">
    <w:pPr>
      <w:pStyle w:val="Pidipagina"/>
      <w:jc w:val="center"/>
    </w:pPr>
    <w:r>
      <w:t>Segreteria del Comitato Unico di Garanzia</w:t>
    </w:r>
  </w:p>
  <w:p w:rsidR="003B5CF8" w:rsidRDefault="00D34681" w:rsidP="003B5CF8">
    <w:pPr>
      <w:pStyle w:val="Pidipagina"/>
      <w:jc w:val="center"/>
    </w:pPr>
    <w:hyperlink r:id="rId1" w:history="1">
      <w:r w:rsidR="003B5CF8" w:rsidRPr="00734CDB">
        <w:rPr>
          <w:rStyle w:val="Collegamentoipertestuale"/>
        </w:rPr>
        <w:t>cug@mise.gov.it</w:t>
      </w:r>
    </w:hyperlink>
  </w:p>
  <w:p w:rsidR="003B5CF8" w:rsidRDefault="003B5CF8" w:rsidP="003B5CF8">
    <w:pPr>
      <w:pStyle w:val="Pidipagina"/>
      <w:jc w:val="center"/>
    </w:pPr>
    <w:r>
      <w:t>tel. 06.47052724 - 2080</w:t>
    </w:r>
  </w:p>
  <w:p w:rsidR="003B5CF8" w:rsidRDefault="003B5CF8">
    <w:pPr>
      <w:pStyle w:val="Pidipagina"/>
    </w:pP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8E7" w:rsidRDefault="007838E7" w:rsidP="003E51FF">
      <w:r>
        <w:separator/>
      </w:r>
    </w:p>
  </w:footnote>
  <w:footnote w:type="continuationSeparator" w:id="1">
    <w:p w:rsidR="007838E7" w:rsidRDefault="007838E7" w:rsidP="003E51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B34" w:rsidRDefault="00616B34" w:rsidP="00616B34">
    <w:pPr>
      <w:pStyle w:val="Intestazione"/>
      <w:jc w:val="right"/>
    </w:pPr>
    <w:r w:rsidRPr="0094307A">
      <w:rPr>
        <w:rFonts w:ascii="Times New Roman" w:eastAsia="Times New Roman" w:hAnsi="Times New Roman"/>
        <w:color w:val="0070C0"/>
        <w:sz w:val="54"/>
        <w:szCs w:val="20"/>
      </w:rP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75pt;height:42.75pt" o:ole="" fillcolor="window">
          <v:imagedata r:id="rId1" o:title=""/>
          <o:lock v:ext="edit" aspectratio="f"/>
        </v:shape>
        <o:OLEObject Type="Embed" ProgID="MSDraw" ShapeID="_x0000_i1025" DrawAspect="Content" ObjectID="_1626013848" r:id="rId2"/>
      </w:obje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1FF" w:rsidRPr="001C7F2D" w:rsidRDefault="003E51FF" w:rsidP="007B3C97">
    <w:pPr>
      <w:ind w:right="-1"/>
      <w:jc w:val="right"/>
      <w:rPr>
        <w:rFonts w:ascii="Arial" w:hAnsi="Arial" w:cs="Arial"/>
        <w:bCs/>
        <w:smallCaps/>
        <w:color w:val="000000"/>
        <w:spacing w:val="-1"/>
        <w:sz w:val="20"/>
        <w:szCs w:val="20"/>
      </w:rPr>
    </w:pPr>
    <w:r w:rsidRPr="0094307A">
      <w:rPr>
        <w:rFonts w:ascii="Times New Roman" w:eastAsia="Times New Roman" w:hAnsi="Times New Roman"/>
        <w:color w:val="0070C0"/>
        <w:sz w:val="54"/>
        <w:szCs w:val="20"/>
      </w:rP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9.75pt;height:42.75pt" o:ole="" fillcolor="window">
          <v:imagedata r:id="rId1" o:title=""/>
          <o:lock v:ext="edit" aspectratio="f"/>
        </v:shape>
        <o:OLEObject Type="Embed" ProgID="MSDraw" ShapeID="_x0000_i1026" DrawAspect="Content" ObjectID="_1626013849" r:id="rId2"/>
      </w:object>
    </w:r>
    <w:r>
      <w:rPr>
        <w:i/>
        <w:color w:val="0070C0"/>
        <w:u w:val="single"/>
      </w:rPr>
      <w:br w:type="textWrapping" w:clear="all"/>
    </w:r>
  </w:p>
  <w:p w:rsidR="003E51FF" w:rsidRDefault="003E51FF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C97" w:rsidRDefault="007B3C97" w:rsidP="007B3C97">
    <w:pPr>
      <w:ind w:right="-1"/>
      <w:jc w:val="center"/>
      <w:rPr>
        <w:rFonts w:ascii="Palace Script MT" w:hAnsi="Palace Script MT"/>
        <w:sz w:val="72"/>
        <w:szCs w:val="64"/>
      </w:rPr>
    </w:pPr>
    <w:r w:rsidRPr="0094307A">
      <w:rPr>
        <w:rFonts w:ascii="Times New Roman" w:eastAsia="Times New Roman" w:hAnsi="Times New Roman"/>
        <w:color w:val="0070C0"/>
        <w:sz w:val="54"/>
        <w:szCs w:val="20"/>
      </w:rP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39.75pt;height:42.75pt" o:ole="" fillcolor="window">
          <v:imagedata r:id="rId1" o:title=""/>
          <o:lock v:ext="edit" aspectratio="f"/>
        </v:shape>
        <o:OLEObject Type="Embed" ProgID="MSDraw" ShapeID="_x0000_i1027" DrawAspect="Content" ObjectID="_1626013850" r:id="rId2"/>
      </w:object>
    </w:r>
    <w:r>
      <w:rPr>
        <w:i/>
        <w:color w:val="0070C0"/>
        <w:u w:val="single"/>
      </w:rPr>
      <w:br w:type="textWrapping" w:clear="all"/>
    </w:r>
    <w:r>
      <w:rPr>
        <w:rFonts w:ascii="Palace Script MT" w:hAnsi="Palace Script MT"/>
        <w:sz w:val="72"/>
        <w:szCs w:val="64"/>
      </w:rPr>
      <w:t>Ministero dello Sviluppo Economico</w:t>
    </w:r>
  </w:p>
  <w:p w:rsidR="007B3C97" w:rsidRPr="001C7F2D" w:rsidRDefault="007B3C97" w:rsidP="007B3C97">
    <w:pPr>
      <w:jc w:val="center"/>
      <w:rPr>
        <w:rFonts w:ascii="Arial" w:hAnsi="Arial" w:cs="Arial"/>
        <w:bCs/>
        <w:smallCaps/>
        <w:color w:val="000000"/>
        <w:spacing w:val="-1"/>
        <w:sz w:val="20"/>
        <w:szCs w:val="20"/>
      </w:rPr>
    </w:pPr>
    <w:r>
      <w:rPr>
        <w:rFonts w:ascii="Arial" w:hAnsi="Arial" w:cs="Arial"/>
        <w:bCs/>
        <w:smallCaps/>
        <w:color w:val="000000"/>
        <w:spacing w:val="-1"/>
      </w:rPr>
      <w:t>Comitato Unico di Garanzia</w:t>
    </w:r>
  </w:p>
  <w:p w:rsidR="007B3C97" w:rsidRDefault="007B3C9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D171B"/>
    <w:multiLevelType w:val="multilevel"/>
    <w:tmpl w:val="35043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A70A8"/>
    <w:multiLevelType w:val="multilevel"/>
    <w:tmpl w:val="61A466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CB7CD2"/>
    <w:multiLevelType w:val="hybridMultilevel"/>
    <w:tmpl w:val="A9C69092"/>
    <w:lvl w:ilvl="0" w:tplc="0410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>
    <w:nsid w:val="5AA36BFB"/>
    <w:multiLevelType w:val="multilevel"/>
    <w:tmpl w:val="8D08D1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evenAndOddHeaders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E51FF"/>
    <w:rsid w:val="00071044"/>
    <w:rsid w:val="000E47F9"/>
    <w:rsid w:val="00117FB3"/>
    <w:rsid w:val="00123B74"/>
    <w:rsid w:val="001E3760"/>
    <w:rsid w:val="002B5875"/>
    <w:rsid w:val="002C2348"/>
    <w:rsid w:val="0038647E"/>
    <w:rsid w:val="003B5CF8"/>
    <w:rsid w:val="003E51FF"/>
    <w:rsid w:val="00455743"/>
    <w:rsid w:val="004D19EF"/>
    <w:rsid w:val="005338FD"/>
    <w:rsid w:val="00616B34"/>
    <w:rsid w:val="007838E7"/>
    <w:rsid w:val="007B3C97"/>
    <w:rsid w:val="007E4839"/>
    <w:rsid w:val="008105BA"/>
    <w:rsid w:val="00917880"/>
    <w:rsid w:val="0094307A"/>
    <w:rsid w:val="009C69E9"/>
    <w:rsid w:val="009D5086"/>
    <w:rsid w:val="00A00775"/>
    <w:rsid w:val="00A23561"/>
    <w:rsid w:val="00AD064A"/>
    <w:rsid w:val="00B76432"/>
    <w:rsid w:val="00C02CCC"/>
    <w:rsid w:val="00D34681"/>
    <w:rsid w:val="00D63F57"/>
    <w:rsid w:val="00DB27EB"/>
    <w:rsid w:val="00FA2E68"/>
    <w:rsid w:val="00FE3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51FF"/>
    <w:pPr>
      <w:spacing w:after="0" w:line="240" w:lineRule="auto"/>
    </w:pPr>
    <w:rPr>
      <w:rFonts w:ascii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3E51FF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51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51FF"/>
    <w:rPr>
      <w:rFonts w:ascii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E51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51FF"/>
    <w:rPr>
      <w:rFonts w:ascii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51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51FF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51F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corsivo">
    <w:name w:val="Emphasis"/>
    <w:basedOn w:val="Carpredefinitoparagrafo"/>
    <w:uiPriority w:val="20"/>
    <w:qFormat/>
    <w:rsid w:val="007E4839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123B7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B5CF8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DB27EB"/>
    <w:rPr>
      <w:b/>
      <w:bCs/>
    </w:rPr>
  </w:style>
  <w:style w:type="paragraph" w:styleId="Paragrafoelenco">
    <w:name w:val="List Paragraph"/>
    <w:basedOn w:val="Normale"/>
    <w:uiPriority w:val="34"/>
    <w:qFormat/>
    <w:rsid w:val="003864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763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g@mise.gov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282D4-2CBF-4944-9F7D-1D42049D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 Gallerati</dc:creator>
  <cp:lastModifiedBy>RGLNTN57B61L049R</cp:lastModifiedBy>
  <cp:revision>4</cp:revision>
  <cp:lastPrinted>2019-07-03T07:00:00Z</cp:lastPrinted>
  <dcterms:created xsi:type="dcterms:W3CDTF">2019-07-03T07:38:00Z</dcterms:created>
  <dcterms:modified xsi:type="dcterms:W3CDTF">2019-07-30T15:44:00Z</dcterms:modified>
</cp:coreProperties>
</file>